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8"/>
        <w:gridCol w:w="1196"/>
        <w:gridCol w:w="3757"/>
        <w:gridCol w:w="4189"/>
      </w:tblGrid>
      <w:tr w:rsidR="00B6488C" w:rsidRPr="008C4E8E" w14:paraId="55BE611C" w14:textId="7BF286E4" w:rsidTr="00B6488C">
        <w:trPr>
          <w:trHeight w:val="284"/>
        </w:trPr>
        <w:tc>
          <w:tcPr>
            <w:tcW w:w="214" w:type="pct"/>
            <w:shd w:val="clear" w:color="auto" w:fill="auto"/>
            <w:vAlign w:val="center"/>
          </w:tcPr>
          <w:p w14:paraId="164928F7" w14:textId="77777777" w:rsidR="00B6488C" w:rsidRPr="00B6488C" w:rsidRDefault="00B6488C" w:rsidP="00470386">
            <w:pPr>
              <w:pStyle w:val="Tabelapozycja"/>
              <w:jc w:val="both"/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en-US"/>
              </w:rPr>
            </w:pPr>
            <w:r w:rsidRPr="00B6488C">
              <w:rPr>
                <w:rFonts w:eastAsia="Times New Roman" w:cs="Arial"/>
                <w:b/>
                <w:color w:val="000000" w:themeColor="text1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FB53D69" w14:textId="77777777" w:rsidR="00B6488C" w:rsidRPr="00B6488C" w:rsidRDefault="00B6488C" w:rsidP="00470386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6488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komponentu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3701A908" w14:textId="524155E7" w:rsidR="00B6488C" w:rsidRPr="00B6488C" w:rsidRDefault="00B6488C" w:rsidP="00640791">
            <w:pPr>
              <w:ind w:left="-71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6488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Wymagane minimalne parametry techniczne </w:t>
            </w:r>
          </w:p>
        </w:tc>
        <w:tc>
          <w:tcPr>
            <w:tcW w:w="2193" w:type="pct"/>
          </w:tcPr>
          <w:p w14:paraId="222DC45A" w14:textId="2521934D" w:rsidR="00B6488C" w:rsidRPr="00B6488C" w:rsidRDefault="00B6488C" w:rsidP="00640791">
            <w:pPr>
              <w:ind w:left="-71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6488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Oferowane przez Wykonawcę  parametry przedmiotu zamówienia uwzględniające wymogi Zamawiającego</w:t>
            </w:r>
          </w:p>
        </w:tc>
      </w:tr>
      <w:tr w:rsidR="00B6488C" w:rsidRPr="008C4E8E" w14:paraId="10D13A66" w14:textId="50D27D59" w:rsidTr="00B6488C">
        <w:trPr>
          <w:trHeight w:val="284"/>
        </w:trPr>
        <w:tc>
          <w:tcPr>
            <w:tcW w:w="214" w:type="pct"/>
          </w:tcPr>
          <w:p w14:paraId="2A5F25D5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1F3B2357" w14:textId="436E35D1" w:rsidR="00B6488C" w:rsidRPr="008C4E8E" w:rsidRDefault="00B6488C" w:rsidP="00470386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sz w:val="16"/>
                <w:szCs w:val="16"/>
              </w:rPr>
              <w:t>Laptop</w:t>
            </w:r>
          </w:p>
        </w:tc>
        <w:tc>
          <w:tcPr>
            <w:tcW w:w="1967" w:type="pct"/>
          </w:tcPr>
          <w:p w14:paraId="07AC3856" w14:textId="295CFD6D" w:rsidR="00B6488C" w:rsidRDefault="00B6488C" w:rsidP="00EF3EB4">
            <w:pPr>
              <w:rPr>
                <w:rFonts w:ascii="Verdana" w:hAnsi="Verdana" w:cs="Arial"/>
                <w:sz w:val="16"/>
                <w:szCs w:val="16"/>
              </w:rPr>
            </w:pPr>
            <w:r w:rsidRPr="008C4E8E">
              <w:rPr>
                <w:rFonts w:ascii="Verdana" w:hAnsi="Verdana" w:cs="Arial"/>
                <w:sz w:val="16"/>
                <w:szCs w:val="16"/>
              </w:rPr>
              <w:t>Laptop będzie wykorzystywany dla potrzeb aplikacji biurowych,</w:t>
            </w:r>
            <w:r>
              <w:rPr>
                <w:rFonts w:ascii="Verdana" w:hAnsi="Verdana" w:cs="Arial"/>
                <w:sz w:val="16"/>
                <w:szCs w:val="16"/>
              </w:rPr>
              <w:t xml:space="preserve"> edukacyjnych (w tym nauki zdalnej),</w:t>
            </w:r>
            <w:r w:rsidRPr="008C4E8E">
              <w:rPr>
                <w:rFonts w:ascii="Verdana" w:hAnsi="Verdana" w:cs="Arial"/>
                <w:sz w:val="16"/>
                <w:szCs w:val="16"/>
              </w:rPr>
              <w:t xml:space="preserve"> dostępu do Internetu</w:t>
            </w:r>
            <w:r>
              <w:rPr>
                <w:rFonts w:ascii="Verdana" w:hAnsi="Verdana" w:cs="Arial"/>
                <w:sz w:val="16"/>
                <w:szCs w:val="16"/>
              </w:rPr>
              <w:t xml:space="preserve">. Należy podać </w:t>
            </w:r>
            <w:r w:rsidRPr="00B6488C">
              <w:rPr>
                <w:rFonts w:ascii="Verdana" w:hAnsi="Verdana" w:cs="Arial"/>
                <w:sz w:val="16"/>
                <w:szCs w:val="16"/>
              </w:rPr>
              <w:t>nazwą producenta, typ, model,</w:t>
            </w:r>
          </w:p>
          <w:p w14:paraId="3AC7749B" w14:textId="74F9F888" w:rsidR="00B6488C" w:rsidRPr="008C4E8E" w:rsidRDefault="00B6488C" w:rsidP="00EF3EB4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sz w:val="16"/>
                <w:szCs w:val="16"/>
              </w:rPr>
              <w:t>Do oferty należy załączyć zestawienie z podaną dla każdej sztuki laptopa: nazwą producenta, typem, modelem, oraz numerem katalogowym oferowanego sprzętu umożliwiające jednoznaczną identyfikację oferowanej konfiguracji u producenta laptopa.</w:t>
            </w:r>
          </w:p>
        </w:tc>
        <w:tc>
          <w:tcPr>
            <w:tcW w:w="2193" w:type="pct"/>
          </w:tcPr>
          <w:p w14:paraId="361F9234" w14:textId="77777777" w:rsidR="00B6488C" w:rsidRPr="008C4E8E" w:rsidRDefault="00B6488C" w:rsidP="00EF3EB4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6488C" w:rsidRPr="008C4E8E" w14:paraId="5813B19C" w14:textId="7438AAAE" w:rsidTr="00B6488C">
        <w:trPr>
          <w:trHeight w:val="284"/>
        </w:trPr>
        <w:tc>
          <w:tcPr>
            <w:tcW w:w="214" w:type="pct"/>
          </w:tcPr>
          <w:p w14:paraId="03A05AC6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bookmarkStart w:id="0" w:name="_GoBack" w:colFirst="4" w:colLast="4"/>
          </w:p>
        </w:tc>
        <w:tc>
          <w:tcPr>
            <w:tcW w:w="626" w:type="pct"/>
          </w:tcPr>
          <w:p w14:paraId="39C70B1D" w14:textId="77777777" w:rsidR="00B6488C" w:rsidRPr="008C4E8E" w:rsidRDefault="00B6488C" w:rsidP="00470386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Ekran</w:t>
            </w:r>
          </w:p>
        </w:tc>
        <w:tc>
          <w:tcPr>
            <w:tcW w:w="1967" w:type="pct"/>
          </w:tcPr>
          <w:p w14:paraId="2057819A" w14:textId="41A116A6" w:rsidR="00B6488C" w:rsidRPr="008C4E8E" w:rsidRDefault="00B6488C" w:rsidP="001668AA">
            <w:pPr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Matryca IPS, min. 15.6” z podświetleniem w technologii LED, powłoka antyrefleksyjna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Anti-Glare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– rozdzielczość minimalna: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FullHD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1920x1080, 250nits, nie dopuszcza się matryc typu „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glare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” lub stosowania folii samoprzylepnej w celu zmatowienia błyszczącego ekranu.</w:t>
            </w:r>
          </w:p>
        </w:tc>
        <w:tc>
          <w:tcPr>
            <w:tcW w:w="2193" w:type="pct"/>
          </w:tcPr>
          <w:p w14:paraId="3CF8D497" w14:textId="77777777" w:rsidR="00B6488C" w:rsidRPr="008C4E8E" w:rsidRDefault="00B6488C" w:rsidP="001668AA">
            <w:pPr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bookmarkEnd w:id="0"/>
      <w:tr w:rsidR="00B6488C" w:rsidRPr="008C4E8E" w14:paraId="4893C2C5" w14:textId="3100769A" w:rsidTr="00B6488C">
        <w:trPr>
          <w:trHeight w:val="284"/>
        </w:trPr>
        <w:tc>
          <w:tcPr>
            <w:tcW w:w="214" w:type="pct"/>
          </w:tcPr>
          <w:p w14:paraId="069189A6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185A6A8B" w14:textId="77777777" w:rsidR="00B6488C" w:rsidRPr="008C4E8E" w:rsidRDefault="00B6488C" w:rsidP="00470386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Obudowa</w:t>
            </w:r>
          </w:p>
        </w:tc>
        <w:tc>
          <w:tcPr>
            <w:tcW w:w="1967" w:type="pct"/>
          </w:tcPr>
          <w:p w14:paraId="7A17ED3B" w14:textId="495AE23E" w:rsidR="00B6488C" w:rsidRPr="008C4E8E" w:rsidRDefault="00B6488C" w:rsidP="006F496C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Obudowa wyposażona w zawiasy metalowe. Kąt otwarcia matrycy min. 176 stopni.</w:t>
            </w:r>
          </w:p>
          <w:p w14:paraId="235680B1" w14:textId="0050FCD0" w:rsidR="00B6488C" w:rsidRPr="008C4E8E" w:rsidRDefault="00B6488C" w:rsidP="006F496C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 obudowę wbudowane co najmniej 2 diody sygnalizujące stan naładowania akumulatora oraz pracę dysku twardego lub stan pracy komputera.</w:t>
            </w:r>
          </w:p>
        </w:tc>
        <w:tc>
          <w:tcPr>
            <w:tcW w:w="2193" w:type="pct"/>
          </w:tcPr>
          <w:p w14:paraId="79D2D24D" w14:textId="77777777" w:rsidR="00B6488C" w:rsidRPr="008C4E8E" w:rsidRDefault="00B6488C" w:rsidP="006F496C">
            <w:pPr>
              <w:autoSpaceDE w:val="0"/>
              <w:autoSpaceDN w:val="0"/>
              <w:adjustRightInd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3072FF72" w14:textId="27DAC471" w:rsidTr="00B6488C">
        <w:trPr>
          <w:trHeight w:val="284"/>
        </w:trPr>
        <w:tc>
          <w:tcPr>
            <w:tcW w:w="214" w:type="pct"/>
          </w:tcPr>
          <w:p w14:paraId="67A3C972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1173F801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Chipset</w:t>
            </w:r>
          </w:p>
        </w:tc>
        <w:tc>
          <w:tcPr>
            <w:tcW w:w="1967" w:type="pct"/>
          </w:tcPr>
          <w:p w14:paraId="28FDECD2" w14:textId="7ECCA941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Zaprojektowany i wykonany do pracy w komputerach przenośnych, dostosowany do zaoferowanego procesora.</w:t>
            </w:r>
          </w:p>
        </w:tc>
        <w:tc>
          <w:tcPr>
            <w:tcW w:w="2193" w:type="pct"/>
          </w:tcPr>
          <w:p w14:paraId="0EAEEF42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526D3A51" w14:textId="681D6009" w:rsidTr="00B6488C">
        <w:trPr>
          <w:trHeight w:val="284"/>
        </w:trPr>
        <w:tc>
          <w:tcPr>
            <w:tcW w:w="214" w:type="pct"/>
          </w:tcPr>
          <w:p w14:paraId="46BE7302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134EEF38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Płyta główna</w:t>
            </w:r>
          </w:p>
        </w:tc>
        <w:tc>
          <w:tcPr>
            <w:tcW w:w="1967" w:type="pct"/>
          </w:tcPr>
          <w:p w14:paraId="563BE280" w14:textId="0C861721" w:rsidR="00B6488C" w:rsidRPr="008C4E8E" w:rsidRDefault="00B6488C" w:rsidP="007065B4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Zaprojektowana i wyprodukowana przez producenta komputera wyposażona w interfejs SATA III (6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Gb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/s) do obsługi dysków twardych. Płyta główna i konstrukcja laptopa wspierająca konfiguracje dwudyskową SSD M.2 + HDD 2,5’’.</w:t>
            </w:r>
          </w:p>
        </w:tc>
        <w:tc>
          <w:tcPr>
            <w:tcW w:w="2193" w:type="pct"/>
          </w:tcPr>
          <w:p w14:paraId="49FA27CA" w14:textId="77777777" w:rsidR="00B6488C" w:rsidRPr="008C4E8E" w:rsidRDefault="00B6488C" w:rsidP="007065B4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0A4145" w14:paraId="3894FEF0" w14:textId="1CD54727" w:rsidTr="00B6488C">
        <w:trPr>
          <w:trHeight w:val="284"/>
        </w:trPr>
        <w:tc>
          <w:tcPr>
            <w:tcW w:w="214" w:type="pct"/>
          </w:tcPr>
          <w:p w14:paraId="43630BE5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49CC1B32" w14:textId="77777777" w:rsidR="00B6488C" w:rsidRPr="008C4E8E" w:rsidRDefault="00B6488C" w:rsidP="00470386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Procesor</w:t>
            </w:r>
          </w:p>
        </w:tc>
        <w:tc>
          <w:tcPr>
            <w:tcW w:w="1967" w:type="pct"/>
          </w:tcPr>
          <w:p w14:paraId="6985442A" w14:textId="2B8AB944" w:rsidR="00B6488C" w:rsidRPr="008C4E8E" w:rsidRDefault="00B6488C" w:rsidP="006A3C0D">
            <w:pPr>
              <w:outlineLvl w:val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Procesor wielordzeniowy ze zintegrowaną grafiką, zaprojektowany do pracy w komputerach przenośnych klasy x86. Punktacja procesora na poziomie wydajności liczonej w punktach równa lub wyższa 10100 pkt na podstawie </w:t>
            </w:r>
            <w:proofErr w:type="spellStart"/>
            <w:r w:rsidRPr="008C4E8E">
              <w:rPr>
                <w:rFonts w:ascii="Verdana" w:hAnsi="Verdana"/>
                <w:color w:val="000000" w:themeColor="text1"/>
                <w:sz w:val="16"/>
                <w:szCs w:val="16"/>
              </w:rPr>
              <w:t>PerformanceTest</w:t>
            </w:r>
            <w:proofErr w:type="spellEnd"/>
            <w:r w:rsidRPr="008C4E8E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w teście CPU Mark według wyników </w:t>
            </w:r>
            <w:proofErr w:type="spellStart"/>
            <w:r w:rsidRPr="008C4E8E">
              <w:rPr>
                <w:rFonts w:ascii="Verdana" w:hAnsi="Verdana"/>
                <w:color w:val="000000" w:themeColor="text1"/>
                <w:sz w:val="16"/>
                <w:szCs w:val="16"/>
              </w:rPr>
              <w:t>Avarage</w:t>
            </w:r>
            <w:proofErr w:type="spellEnd"/>
            <w:r w:rsidRPr="008C4E8E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CPU Mark opublikowanych na http://www.cpubenchmark.net/. Do oferty należy załączyć wydruk ze strony potw</w:t>
            </w:r>
            <w:r w:rsidR="00E909B9">
              <w:rPr>
                <w:rFonts w:ascii="Verdana" w:hAnsi="Verdana"/>
                <w:color w:val="000000" w:themeColor="text1"/>
                <w:sz w:val="16"/>
                <w:szCs w:val="16"/>
              </w:rPr>
              <w:t>ierdzający spełnienie wymogów S</w:t>
            </w:r>
            <w:r w:rsidRPr="008C4E8E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WZ (wynik od publikacji ogłoszenia do dnia składnia ofert). Procesor po raz pierwszy wprowadzony na rynek </w:t>
            </w:r>
            <w:r w:rsidR="00E909B9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min. Q2 2020 rok. Należy podać </w:t>
            </w:r>
            <w:r w:rsidRPr="008C4E8E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producenta i dokładny model procesora.</w:t>
            </w:r>
          </w:p>
        </w:tc>
        <w:tc>
          <w:tcPr>
            <w:tcW w:w="2193" w:type="pct"/>
          </w:tcPr>
          <w:p w14:paraId="3D1763AF" w14:textId="77777777" w:rsidR="00B6488C" w:rsidRPr="008C4E8E" w:rsidRDefault="00B6488C" w:rsidP="006A3C0D">
            <w:pPr>
              <w:outlineLvl w:val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501B7473" w14:textId="4557F31C" w:rsidTr="00B6488C">
        <w:trPr>
          <w:trHeight w:val="284"/>
        </w:trPr>
        <w:tc>
          <w:tcPr>
            <w:tcW w:w="214" w:type="pct"/>
          </w:tcPr>
          <w:p w14:paraId="47050472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2688594A" w14:textId="3685EFFF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Pamięć RAM</w:t>
            </w:r>
          </w:p>
        </w:tc>
        <w:tc>
          <w:tcPr>
            <w:tcW w:w="1967" w:type="pct"/>
          </w:tcPr>
          <w:p w14:paraId="57D6377C" w14:textId="0EE388E7" w:rsidR="00B6488C" w:rsidRPr="008C4E8E" w:rsidRDefault="00B6488C" w:rsidP="000F7BE0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Co najmniej 8GB DDR4 o taktowaniu min. 3200MHZ, z możliwością rozbudowy,</w:t>
            </w:r>
            <w:r w:rsidRPr="008C4E8E">
              <w:rPr>
                <w:color w:val="000000" w:themeColor="text1"/>
              </w:rPr>
              <w:t xml:space="preserve"> </w:t>
            </w: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działająca w trybie dual channel. Zamawiający nie dopuszcza pamięci wlutowanej na stałe w płytę główną.</w:t>
            </w:r>
          </w:p>
        </w:tc>
        <w:tc>
          <w:tcPr>
            <w:tcW w:w="2193" w:type="pct"/>
          </w:tcPr>
          <w:p w14:paraId="5A165E66" w14:textId="77777777" w:rsidR="00B6488C" w:rsidRPr="008C4E8E" w:rsidRDefault="00B6488C" w:rsidP="000F7BE0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2AC6B50D" w14:textId="2730581B" w:rsidTr="00B6488C">
        <w:trPr>
          <w:trHeight w:val="284"/>
        </w:trPr>
        <w:tc>
          <w:tcPr>
            <w:tcW w:w="214" w:type="pct"/>
          </w:tcPr>
          <w:p w14:paraId="484F48E7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24AC99B1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Dysk twardy</w:t>
            </w:r>
          </w:p>
        </w:tc>
        <w:tc>
          <w:tcPr>
            <w:tcW w:w="1967" w:type="pct"/>
          </w:tcPr>
          <w:p w14:paraId="0C90D1A1" w14:textId="6CDB9EBB" w:rsidR="00B6488C" w:rsidRPr="008C4E8E" w:rsidRDefault="00B6488C" w:rsidP="0050023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Min 256GB M.2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PCIe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NVMe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zawierający partycję RECOVERY umożliwiającą odtworzenie systemu operacyjnego fabrycznie zainstalowanego na komputerze po awarii. Możliwość rozbudowy do konfiguracji dwudyskowej w oparciu o dysk M.2 SSD oraz 2,5”. Zatoka 2,5” gotowa do </w:t>
            </w: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lastRenderedPageBreak/>
              <w:t>dołożenia dysku twardego. Nie dopuszcza się dysków z pamięciami QLC.</w:t>
            </w:r>
          </w:p>
        </w:tc>
        <w:tc>
          <w:tcPr>
            <w:tcW w:w="2193" w:type="pct"/>
          </w:tcPr>
          <w:p w14:paraId="04B0D09D" w14:textId="77777777" w:rsidR="00B6488C" w:rsidRPr="008C4E8E" w:rsidRDefault="00B6488C" w:rsidP="0050023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35A80787" w14:textId="0E3FD17C" w:rsidTr="00B6488C">
        <w:trPr>
          <w:trHeight w:val="284"/>
        </w:trPr>
        <w:tc>
          <w:tcPr>
            <w:tcW w:w="214" w:type="pct"/>
          </w:tcPr>
          <w:p w14:paraId="54734F6B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66BAA1B2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Karta graficzna</w:t>
            </w:r>
          </w:p>
        </w:tc>
        <w:tc>
          <w:tcPr>
            <w:tcW w:w="1967" w:type="pct"/>
          </w:tcPr>
          <w:p w14:paraId="572B5D52" w14:textId="75E7ECAE" w:rsidR="00B6488C" w:rsidRPr="008C4E8E" w:rsidRDefault="00B6488C" w:rsidP="006F496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Zintegrowana karta graficzna ze wsparciem dla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OpenGL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Microsoft DirectX, wykorzystująca pamięć RAM systemu dynamicznie przydzielaną na potrzeby grafiki w trybie UMA (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Unified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Memory Access) – z możliwością dynamicznego przydzielenia pamięci.</w:t>
            </w:r>
          </w:p>
        </w:tc>
        <w:tc>
          <w:tcPr>
            <w:tcW w:w="2193" w:type="pct"/>
          </w:tcPr>
          <w:p w14:paraId="4154293C" w14:textId="77777777" w:rsidR="00B6488C" w:rsidRPr="008C4E8E" w:rsidRDefault="00B6488C" w:rsidP="006F496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46CF4A9C" w14:textId="54BEBC8F" w:rsidTr="00B6488C">
        <w:trPr>
          <w:trHeight w:val="284"/>
        </w:trPr>
        <w:tc>
          <w:tcPr>
            <w:tcW w:w="214" w:type="pct"/>
          </w:tcPr>
          <w:p w14:paraId="0A359FBC" w14:textId="35A7AB9A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463DB308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Audio/Video</w:t>
            </w:r>
          </w:p>
        </w:tc>
        <w:tc>
          <w:tcPr>
            <w:tcW w:w="1967" w:type="pct"/>
          </w:tcPr>
          <w:p w14:paraId="480A1B8A" w14:textId="4A07BBF1" w:rsidR="00B6488C" w:rsidRPr="008C4E8E" w:rsidRDefault="00B6488C" w:rsidP="00453042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Wbudowana zgodna z HD Audio karta dźwiękowa, wbudowane głośniki stereo Dolby Audio, wbudowane dwa mikrofony, sterowanie głośnością głośników za pośrednictwem wydzielonych klawiszy funkcyjnych na klawiaturze, wydzielony przycisk funkcyjny do natychmiastowego wyciszania głośników oraz mikrofonu (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mute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).</w:t>
            </w:r>
          </w:p>
        </w:tc>
        <w:tc>
          <w:tcPr>
            <w:tcW w:w="2193" w:type="pct"/>
          </w:tcPr>
          <w:p w14:paraId="3454AB04" w14:textId="77777777" w:rsidR="00B6488C" w:rsidRPr="008C4E8E" w:rsidRDefault="00B6488C" w:rsidP="00453042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1E1C12CA" w14:textId="2F3195F7" w:rsidTr="00B6488C">
        <w:trPr>
          <w:trHeight w:val="284"/>
        </w:trPr>
        <w:tc>
          <w:tcPr>
            <w:tcW w:w="214" w:type="pct"/>
          </w:tcPr>
          <w:p w14:paraId="5B83361C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53BFBCD1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Porty/złącza</w:t>
            </w:r>
          </w:p>
        </w:tc>
        <w:tc>
          <w:tcPr>
            <w:tcW w:w="1967" w:type="pct"/>
          </w:tcPr>
          <w:p w14:paraId="7DBB864C" w14:textId="2E81B8F3" w:rsidR="00B6488C" w:rsidRPr="008C4E8E" w:rsidRDefault="00B6488C" w:rsidP="00C26CEB">
            <w:pPr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3 x USB w tym min. 2 x USB 3.0, złącze słuchawek i złącze mikrofonu typu COMBO, HDMI min. 2.0, port LAN RJ-45, 1 x czytnik kart pamięci SD, 1 x port zasilania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DCin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 Zamawiający nie dopuszcza adapterów lub przejściówek w celu osiągnięcia wymaganej ilości portów USB.</w:t>
            </w:r>
          </w:p>
        </w:tc>
        <w:tc>
          <w:tcPr>
            <w:tcW w:w="2193" w:type="pct"/>
          </w:tcPr>
          <w:p w14:paraId="1C52F295" w14:textId="77777777" w:rsidR="00B6488C" w:rsidRPr="008C4E8E" w:rsidRDefault="00B6488C" w:rsidP="00C26CEB">
            <w:pPr>
              <w:outlineLvl w:val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7894794E" w14:textId="35310D67" w:rsidTr="00B6488C">
        <w:trPr>
          <w:trHeight w:val="284"/>
        </w:trPr>
        <w:tc>
          <w:tcPr>
            <w:tcW w:w="214" w:type="pct"/>
          </w:tcPr>
          <w:p w14:paraId="3609888E" w14:textId="6D46860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26C879C4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Klawiatura</w:t>
            </w:r>
          </w:p>
        </w:tc>
        <w:tc>
          <w:tcPr>
            <w:tcW w:w="1967" w:type="pct"/>
          </w:tcPr>
          <w:p w14:paraId="73F4274C" w14:textId="1A79BE76" w:rsidR="00B6488C" w:rsidRPr="008C4E8E" w:rsidRDefault="00B6488C" w:rsidP="00512A1D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Pełnowymiarowa z wydzielonymi pełnowymiarowymi klawiszami numerycznymi w prawej części klawiatury, w układzie US-QWERTY, polskie znaki zgodne z układem MS Windows „polski programistyczny", klawiatura musi być wyposażona w 2 klawisze ALT (prawy i lewy).</w:t>
            </w:r>
          </w:p>
        </w:tc>
        <w:tc>
          <w:tcPr>
            <w:tcW w:w="2193" w:type="pct"/>
          </w:tcPr>
          <w:p w14:paraId="35DC0900" w14:textId="77777777" w:rsidR="00B6488C" w:rsidRPr="008C4E8E" w:rsidRDefault="00B6488C" w:rsidP="00512A1D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555C5AAA" w14:textId="55522402" w:rsidTr="00B6488C">
        <w:trPr>
          <w:trHeight w:val="284"/>
        </w:trPr>
        <w:tc>
          <w:tcPr>
            <w:tcW w:w="214" w:type="pct"/>
          </w:tcPr>
          <w:p w14:paraId="57D07672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735CDBDC" w14:textId="24E26879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Urządzenie wskazujące</w:t>
            </w:r>
          </w:p>
        </w:tc>
        <w:tc>
          <w:tcPr>
            <w:tcW w:w="1967" w:type="pct"/>
          </w:tcPr>
          <w:p w14:paraId="4C6B8F11" w14:textId="4B8C6977" w:rsidR="00B6488C" w:rsidRPr="008C4E8E" w:rsidRDefault="00B6488C" w:rsidP="00512A1D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Touch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Pad (płytka dotykowa) wbudowana w obudowę notebooka.</w:t>
            </w:r>
          </w:p>
        </w:tc>
        <w:tc>
          <w:tcPr>
            <w:tcW w:w="2193" w:type="pct"/>
          </w:tcPr>
          <w:p w14:paraId="4B3C46DA" w14:textId="77777777" w:rsidR="00B6488C" w:rsidRPr="008C4E8E" w:rsidRDefault="00B6488C" w:rsidP="00512A1D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190A6D5F" w14:textId="62770923" w:rsidTr="00B6488C">
        <w:trPr>
          <w:trHeight w:val="284"/>
        </w:trPr>
        <w:tc>
          <w:tcPr>
            <w:tcW w:w="214" w:type="pct"/>
          </w:tcPr>
          <w:p w14:paraId="72FE9859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2C2787A4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WiFi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967" w:type="pct"/>
          </w:tcPr>
          <w:p w14:paraId="038B7B6B" w14:textId="64B6E7B3" w:rsidR="00B6488C" w:rsidRPr="008C4E8E" w:rsidRDefault="00B6488C" w:rsidP="005A11B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Wbudowana karta sieciowa, pracująca w standardzie 802.11a/b/g/n/ac.</w:t>
            </w:r>
          </w:p>
        </w:tc>
        <w:tc>
          <w:tcPr>
            <w:tcW w:w="2193" w:type="pct"/>
          </w:tcPr>
          <w:p w14:paraId="0BA66BCB" w14:textId="77777777" w:rsidR="00B6488C" w:rsidRPr="008C4E8E" w:rsidRDefault="00B6488C" w:rsidP="005A11B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65F61399" w14:textId="0A8209B0" w:rsidTr="00B6488C">
        <w:trPr>
          <w:trHeight w:val="284"/>
        </w:trPr>
        <w:tc>
          <w:tcPr>
            <w:tcW w:w="214" w:type="pct"/>
          </w:tcPr>
          <w:p w14:paraId="634F055A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698D4A60" w14:textId="447C861D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LAN</w:t>
            </w:r>
          </w:p>
        </w:tc>
        <w:tc>
          <w:tcPr>
            <w:tcW w:w="1967" w:type="pct"/>
          </w:tcPr>
          <w:p w14:paraId="6C6B284D" w14:textId="57E3A654" w:rsidR="00B6488C" w:rsidRPr="008C4E8E" w:rsidRDefault="00B6488C" w:rsidP="005A11B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Wbudowana karta sieciowa LAN 10/100/1000 Ethernet RJ 45 (WOL) zintegrowana trwale z płytą główną.</w:t>
            </w:r>
          </w:p>
        </w:tc>
        <w:tc>
          <w:tcPr>
            <w:tcW w:w="2193" w:type="pct"/>
          </w:tcPr>
          <w:p w14:paraId="39BA6E98" w14:textId="77777777" w:rsidR="00B6488C" w:rsidRPr="008C4E8E" w:rsidRDefault="00B6488C" w:rsidP="005A11B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29813C58" w14:textId="403185E6" w:rsidTr="00B6488C">
        <w:trPr>
          <w:trHeight w:val="284"/>
        </w:trPr>
        <w:tc>
          <w:tcPr>
            <w:tcW w:w="214" w:type="pct"/>
          </w:tcPr>
          <w:p w14:paraId="651DC105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4182D7D9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Bluetooth</w:t>
            </w:r>
          </w:p>
        </w:tc>
        <w:tc>
          <w:tcPr>
            <w:tcW w:w="1967" w:type="pct"/>
          </w:tcPr>
          <w:p w14:paraId="539F8369" w14:textId="5370B85C" w:rsidR="00B6488C" w:rsidRPr="008C4E8E" w:rsidRDefault="00B6488C" w:rsidP="00F00681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Wbudowany moduł Bluetooth min. 5.0.</w:t>
            </w:r>
          </w:p>
        </w:tc>
        <w:tc>
          <w:tcPr>
            <w:tcW w:w="2193" w:type="pct"/>
          </w:tcPr>
          <w:p w14:paraId="46EAA9BD" w14:textId="77777777" w:rsidR="00B6488C" w:rsidRPr="008C4E8E" w:rsidRDefault="00B6488C" w:rsidP="00F00681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0AC759DD" w14:textId="337E81B1" w:rsidTr="00B6488C">
        <w:trPr>
          <w:trHeight w:val="284"/>
        </w:trPr>
        <w:tc>
          <w:tcPr>
            <w:tcW w:w="214" w:type="pct"/>
          </w:tcPr>
          <w:p w14:paraId="685C8F3B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41EFB355" w14:textId="4FA291D0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Kamera</w:t>
            </w:r>
          </w:p>
        </w:tc>
        <w:tc>
          <w:tcPr>
            <w:tcW w:w="1967" w:type="pct"/>
          </w:tcPr>
          <w:p w14:paraId="23BFA91C" w14:textId="703F788E" w:rsidR="00B6488C" w:rsidRPr="008C4E8E" w:rsidRDefault="00B6488C" w:rsidP="00F00681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Kamera wbudowana, nagrywanie audi/video 720p HD.</w:t>
            </w:r>
          </w:p>
        </w:tc>
        <w:tc>
          <w:tcPr>
            <w:tcW w:w="2193" w:type="pct"/>
          </w:tcPr>
          <w:p w14:paraId="17422876" w14:textId="77777777" w:rsidR="00B6488C" w:rsidRPr="008C4E8E" w:rsidRDefault="00B6488C" w:rsidP="00F00681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6E4E87EA" w14:textId="60170371" w:rsidTr="00B6488C">
        <w:trPr>
          <w:trHeight w:val="284"/>
        </w:trPr>
        <w:tc>
          <w:tcPr>
            <w:tcW w:w="214" w:type="pct"/>
          </w:tcPr>
          <w:p w14:paraId="23C0890E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2C56A259" w14:textId="77777777" w:rsidR="00B6488C" w:rsidRPr="008C4E8E" w:rsidRDefault="00B6488C" w:rsidP="00350517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Bateria</w:t>
            </w:r>
          </w:p>
        </w:tc>
        <w:tc>
          <w:tcPr>
            <w:tcW w:w="1967" w:type="pct"/>
          </w:tcPr>
          <w:p w14:paraId="720CC0D4" w14:textId="265D8514" w:rsidR="00B6488C" w:rsidRPr="008C4E8E" w:rsidRDefault="00B6488C" w:rsidP="000304A5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Litowo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-jonowa, min. 2 ogniwa, pozwalająca na nieprzerwaną pracę urządzenia min. 7h.</w:t>
            </w:r>
          </w:p>
        </w:tc>
        <w:tc>
          <w:tcPr>
            <w:tcW w:w="2193" w:type="pct"/>
          </w:tcPr>
          <w:p w14:paraId="6DEBF850" w14:textId="77777777" w:rsidR="00B6488C" w:rsidRPr="008C4E8E" w:rsidRDefault="00B6488C" w:rsidP="000304A5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29399CCC" w14:textId="10A21558" w:rsidTr="00B6488C">
        <w:trPr>
          <w:trHeight w:val="284"/>
        </w:trPr>
        <w:tc>
          <w:tcPr>
            <w:tcW w:w="214" w:type="pct"/>
          </w:tcPr>
          <w:p w14:paraId="55C1026F" w14:textId="6971B9B5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</w:tcPr>
          <w:p w14:paraId="688741DA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Zasilacz</w:t>
            </w:r>
          </w:p>
        </w:tc>
        <w:tc>
          <w:tcPr>
            <w:tcW w:w="1967" w:type="pct"/>
          </w:tcPr>
          <w:p w14:paraId="27F626C2" w14:textId="6CC71A11" w:rsidR="00B6488C" w:rsidRPr="008C4E8E" w:rsidRDefault="00B6488C" w:rsidP="0002469B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Zewnętrzny, pracujący w sieci elektrycznej 230V 50/60Hz.</w:t>
            </w:r>
          </w:p>
        </w:tc>
        <w:tc>
          <w:tcPr>
            <w:tcW w:w="2193" w:type="pct"/>
          </w:tcPr>
          <w:p w14:paraId="3519833F" w14:textId="77777777" w:rsidR="00B6488C" w:rsidRPr="008C4E8E" w:rsidRDefault="00B6488C" w:rsidP="0002469B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28FC605B" w14:textId="2ECCDD28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F4DB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4D4E" w14:textId="77777777" w:rsidR="00B6488C" w:rsidRPr="008C4E8E" w:rsidRDefault="00B6488C" w:rsidP="0047038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BIOS  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9CA4" w14:textId="64AEE98A" w:rsidR="00B6488C" w:rsidRPr="008C4E8E" w:rsidRDefault="00B6488C" w:rsidP="00682151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BIOS zgodny ze specyfikacją UEFI.</w:t>
            </w: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br/>
              <w:t xml:space="preserve">Możliwość odczytania z BIOS bez uruchamiania systemu operacyjnego z dysku twardego komputera lub innych podłączonych do niego urządzeń zewnętrznych następujących informacji: wersja BIOS / nr seryjny / ilości pamięci RAM / typ procesora / zainstalowane dyski / o zintegrowanej w BIOS licencji na system operacyjny / odczytania z BIOS nazwy producenta komputera oraz modelu lub konfiguracji jednostki. Nie dopuszcza się wykorzystania pól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Asset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TAG w BIOS do propagacji w/w informacji.</w:t>
            </w:r>
          </w:p>
          <w:p w14:paraId="0C2F92DC" w14:textId="1B599C0B" w:rsidR="00B6488C" w:rsidRPr="008C4E8E" w:rsidRDefault="00B6488C" w:rsidP="004523D0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Administrator z poziomu BIOS musi mieć możliwość wykonania poniższych czynności: </w:t>
            </w:r>
          </w:p>
          <w:p w14:paraId="41733833" w14:textId="77777777" w:rsidR="00B6488C" w:rsidRPr="008C4E8E" w:rsidRDefault="00B6488C" w:rsidP="00BB60BF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ustawienia hasła dla twardego dysku,</w:t>
            </w:r>
          </w:p>
          <w:p w14:paraId="1E957D6B" w14:textId="77777777" w:rsidR="00B6488C" w:rsidRPr="008C4E8E" w:rsidRDefault="00B6488C" w:rsidP="00BB60BF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lastRenderedPageBreak/>
              <w:t>możliwość ustawienia hasła Administratora oraz użytkownika,</w:t>
            </w:r>
          </w:p>
          <w:p w14:paraId="7728B2AB" w14:textId="77777777" w:rsidR="00B6488C" w:rsidRPr="008C4E8E" w:rsidRDefault="00B6488C" w:rsidP="00BB60BF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możliwość ustawienia kolejności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bootowania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510674FB" w14:textId="77777777" w:rsidR="00B6488C" w:rsidRPr="008C4E8E" w:rsidRDefault="00B6488C" w:rsidP="00BB60BF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możliwość włączania/wyłączania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WiFi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375F0CF6" w14:textId="77777777" w:rsidR="00B6488C" w:rsidRPr="008C4E8E" w:rsidRDefault="00B6488C" w:rsidP="00BB60BF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włączania/wyłączania wgrania starszej wersji BIOS,</w:t>
            </w:r>
          </w:p>
          <w:p w14:paraId="097227F8" w14:textId="77777777" w:rsidR="00B6488C" w:rsidRPr="008C4E8E" w:rsidRDefault="00B6488C" w:rsidP="00BB60BF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sposobu działania klawiszy F1-F12 (normalna praca/skróty),</w:t>
            </w:r>
          </w:p>
          <w:p w14:paraId="2CC3227A" w14:textId="7B741B26" w:rsidR="00B6488C" w:rsidRPr="008C4E8E" w:rsidRDefault="00B6488C" w:rsidP="00BB60BF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trybu wydajności lub chłodzenia.</w:t>
            </w:r>
          </w:p>
          <w:p w14:paraId="7928B032" w14:textId="0167A68C" w:rsidR="00B6488C" w:rsidRPr="008C4E8E" w:rsidRDefault="00B6488C" w:rsidP="0057680A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W przypadku występowania na klawiaturze przycisku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Fn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wymaga się funkcjonalności w BIOS umożliwiającej zamianę funkcji pomiędzy klawiszami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Ctrl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i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Fn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tak aby użytkownik nie musiał zmieniać swoich przyzwyczajeń umiejscowienia przycisków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Ctrl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i </w:t>
            </w:r>
            <w:proofErr w:type="spellStart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Fn</w:t>
            </w:r>
            <w:proofErr w:type="spellEnd"/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co wpływa na komfort obsługi.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623" w14:textId="77777777" w:rsidR="00B6488C" w:rsidRPr="008C4E8E" w:rsidRDefault="00B6488C" w:rsidP="00682151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680DD9C9" w14:textId="1C56DE96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36C8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1D7" w14:textId="77777777" w:rsidR="00B6488C" w:rsidRPr="008C4E8E" w:rsidRDefault="00B6488C" w:rsidP="00470386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Certyfikaty i standardy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9354" w14:textId="77777777" w:rsidR="00B6488C" w:rsidRPr="008C4E8E" w:rsidRDefault="00B6488C" w:rsidP="005A28F0">
            <w:pPr>
              <w:pStyle w:val="Akapitzlist"/>
              <w:numPr>
                <w:ilvl w:val="0"/>
                <w:numId w:val="2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 ISO9001:2000 dla producenta sprzętu (należy załączyć do oferty),</w:t>
            </w:r>
          </w:p>
          <w:p w14:paraId="0D0B8BD5" w14:textId="77777777" w:rsidR="00B6488C" w:rsidRPr="008C4E8E" w:rsidRDefault="00B6488C" w:rsidP="005A28F0">
            <w:pPr>
              <w:pStyle w:val="Akapitzlist"/>
              <w:numPr>
                <w:ilvl w:val="0"/>
                <w:numId w:val="2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Deklaracja zgodności CE (załączyć do oferty),</w:t>
            </w:r>
          </w:p>
          <w:p w14:paraId="29817FBA" w14:textId="0F0034DC" w:rsidR="00B6488C" w:rsidRPr="008C4E8E" w:rsidRDefault="00B6488C" w:rsidP="005A28F0">
            <w:pPr>
              <w:pStyle w:val="Akapitzlist"/>
              <w:numPr>
                <w:ilvl w:val="0"/>
                <w:numId w:val="2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Certyfikat Energy Star 8.0.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D7DD" w14:textId="77777777" w:rsidR="00B6488C" w:rsidRPr="008C4E8E" w:rsidRDefault="00B6488C" w:rsidP="005A28F0">
            <w:pPr>
              <w:pStyle w:val="Akapitzlist"/>
              <w:numPr>
                <w:ilvl w:val="0"/>
                <w:numId w:val="2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2455156D" w14:textId="34571C0B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DE57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A625" w14:textId="1EB56CB2" w:rsidR="00B6488C" w:rsidRPr="008C4E8E" w:rsidRDefault="00B6488C" w:rsidP="00470386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Waga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B372" w14:textId="4EBC6C51" w:rsidR="00B6488C" w:rsidRPr="008C4E8E" w:rsidRDefault="00B6488C" w:rsidP="00C91C3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Waga urządzenia z baterią podstawową max 1.9kg z baterią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94E9" w14:textId="77777777" w:rsidR="00B6488C" w:rsidRPr="008C4E8E" w:rsidRDefault="00B6488C" w:rsidP="00C91C3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1835DEA5" w14:textId="5EEC69FC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B78F" w14:textId="77777777" w:rsidR="00B6488C" w:rsidRPr="008C4E8E" w:rsidRDefault="00B6488C" w:rsidP="00470386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D54C" w14:textId="4C84576D" w:rsidR="00B6488C" w:rsidRPr="008C4E8E" w:rsidRDefault="00B6488C" w:rsidP="00470386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Szyfrowanie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0829" w14:textId="12FA9FDC" w:rsidR="00B6488C" w:rsidRPr="008C4E8E" w:rsidRDefault="00B6488C" w:rsidP="00850543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Komputer wyposażony w moduł TPM 2.0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E35B" w14:textId="77777777" w:rsidR="00B6488C" w:rsidRPr="008C4E8E" w:rsidRDefault="00B6488C" w:rsidP="00850543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38580F93" w14:textId="6CE0E8BB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51C1" w14:textId="77777777" w:rsidR="00B6488C" w:rsidRPr="008C4E8E" w:rsidRDefault="00B6488C" w:rsidP="00795D0A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29F6" w14:textId="255A4209" w:rsidR="00B6488C" w:rsidRPr="008C4E8E" w:rsidRDefault="00B6488C" w:rsidP="00795D0A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 xml:space="preserve">System operacyjny 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B6D8" w14:textId="6435DB67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System operacyjny klasy PC fabrycznie preinstalowany przez producenta musi spełniać następujące wymagania poprzez wbudowane mechanizmy, bez użycia dodatkowych aplikacji:</w:t>
            </w:r>
          </w:p>
          <w:p w14:paraId="72C765D1" w14:textId="6BC75128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1. Dostępne dwa rodzaje graficznego interfejsu użytkownika:</w:t>
            </w:r>
          </w:p>
          <w:p w14:paraId="6699EB99" w14:textId="7CA73427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a. Klasyczny, umożliwiający obsługę przy pomocy klawiatury i myszy,</w:t>
            </w:r>
          </w:p>
          <w:p w14:paraId="39F04358" w14:textId="05A3221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b. Dotykowy umożliwiający sterowanie dotykiem na urządzeniach typu tablet lub monitorach dotykowych.</w:t>
            </w:r>
          </w:p>
          <w:p w14:paraId="51545CFC" w14:textId="5E5F2A56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2. Funkcje związane z obsługą komputerów typu tablet, z wbudowanym modułem „uczenia się” pisma użytkownika – obsługa języka polskiego.</w:t>
            </w:r>
          </w:p>
          <w:p w14:paraId="49F749FA" w14:textId="30E14BB0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3. Interfejs użytkownika dostępny w wielu językach do wyboru – w tym polskim i angielskim.</w:t>
            </w:r>
          </w:p>
          <w:p w14:paraId="2EDDDD4E" w14:textId="643659CF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4. Wbudowana w system operacyjny przeglądarka Internetowa.</w:t>
            </w:r>
          </w:p>
          <w:p w14:paraId="107FB8E1" w14:textId="32AFD2D9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5.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0EE4446B" w14:textId="7E5E03A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6. Zlokalizowane w języku polskim, co najmniej następujące elementy: menu, pomoc, komunikaty systemowe, menedżer plików.</w:t>
            </w:r>
          </w:p>
          <w:p w14:paraId="66216495" w14:textId="6DC671A2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7. Graficzne środowisko instalacji i konfiguracji dostępne w języku polskim.</w:t>
            </w:r>
          </w:p>
          <w:p w14:paraId="2A1C8C4F" w14:textId="7E5D117D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8. Wbudowany system pomocy w języku polskim.</w:t>
            </w:r>
          </w:p>
          <w:p w14:paraId="243F86EC" w14:textId="2D00B334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9. Możliwość przystosowania stanowiska dla osób niepełnosprawnych (np. słabo widzących).</w:t>
            </w:r>
          </w:p>
          <w:p w14:paraId="3427C581" w14:textId="6538DEB2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10. Możliwość dokonywania aktualizacji i poprawek systemu poprzez mechanizm </w:t>
            </w: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lastRenderedPageBreak/>
              <w:t>zarządzany przez administratora systemu Zamawiającego.</w:t>
            </w:r>
          </w:p>
          <w:p w14:paraId="74D0C16C" w14:textId="6F958F64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11. Możliwość dostarczania poprawek do systemu operacyjnego w modelu 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peer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-to-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peer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.</w:t>
            </w:r>
          </w:p>
          <w:p w14:paraId="7736580A" w14:textId="54384034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12. Funkcjonalność rozpoznawania mowy, pozwalającą na sterowanie komputerem głosowo, wraz z modułem „uczenia się” głosu użytkownika.</w:t>
            </w:r>
          </w:p>
          <w:p w14:paraId="07994B17" w14:textId="35842EFF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13.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1EE278C4" w14:textId="6CB6E0E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14. Zabezpieczony hasłem hierarchiczny dostęp do systemu, konta i profile użytkowników zarządzane zdalnie; praca systemu w trybie ochrony kont użytkowników.</w:t>
            </w:r>
          </w:p>
          <w:p w14:paraId="0AD17205" w14:textId="60A7CA5A" w:rsidR="00B6488C" w:rsidRPr="008C4E8E" w:rsidRDefault="00B6488C" w:rsidP="00F80693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15. Wsparcie dla większości powszechnie używanych urządzeń peryferyjnych (drukarek, urządzeń sieciowych, standardów USB, 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Plug&amp;Play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, Wi-Fi),</w:t>
            </w:r>
          </w:p>
          <w:p w14:paraId="3EDEA22F" w14:textId="59640E43" w:rsidR="00B6488C" w:rsidRPr="008C4E8E" w:rsidRDefault="00B6488C" w:rsidP="00F80693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16. Funkcjonalność automatycznej zmiany domyślnej drukarki w zależności od sieci, do której podłączony jest komputer,</w:t>
            </w:r>
          </w:p>
          <w:p w14:paraId="331C0008" w14:textId="5C8E156D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17. Możliwość dołączenia systemu do usługi katalogowej on-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premise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lub w chmurze.</w:t>
            </w:r>
          </w:p>
          <w:p w14:paraId="4DFCFB9E" w14:textId="09927E64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18. Zdalna pomoc i współdzielenie aplikacji – możliwość zdalnego przejęcia sesji zalogowanego użytkownika celem rozwiązania problemu z komputerem.</w:t>
            </w:r>
          </w:p>
          <w:p w14:paraId="7D4DA932" w14:textId="3FEB52BB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19. Transakcyjny system plików pozwalający na stosowanie przydziałów (ang. 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quota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) na dysku dla użytkowników oraz zapewniający większą niezawodność i pozwalający tworzyć kopie zapasowe.</w:t>
            </w:r>
          </w:p>
          <w:p w14:paraId="2760EA56" w14:textId="51DD8073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20. Oprogramowanie dla tworzenia kopii zapasowych (Backup); automatyczne wykonywanie kopii plików z możliwością automatycznego przywrócenia wersji wcześniejszej.</w:t>
            </w:r>
          </w:p>
          <w:p w14:paraId="4C0AB2CB" w14:textId="42674369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21. Możliwość przywracania obrazu plików systemowych do uprzednio zapisanej postaci.</w:t>
            </w:r>
          </w:p>
          <w:p w14:paraId="4DE63F4B" w14:textId="0741A90F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22. Możliwość przywracania systemu operacyjnego do stanu początkowego z pozostawieniem plików użytkownika.</w:t>
            </w:r>
          </w:p>
          <w:p w14:paraId="2E11C954" w14:textId="6D6C5348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23. Wbudowana możliwość zdalnego dostępu do systemu i pracy zdalnej z wykorzystaniem pełnego interfejsu graficznego.</w:t>
            </w:r>
          </w:p>
          <w:p w14:paraId="7B656AC9" w14:textId="482F4947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24. Dostępność bezpłatnych biuletynów bezpieczeństwa związanych z działaniem systemu operacyjnego.</w:t>
            </w:r>
          </w:p>
          <w:p w14:paraId="7CBEA7F6" w14:textId="7A5DE83F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25. Wbudowana zapora internetowa (firewall) dla ochrony połączeń internetowych, zintegrowana z systemem konsola do zarządzania ustawieniami zapory i regułami IP v4 i v6.</w:t>
            </w:r>
          </w:p>
          <w:p w14:paraId="393E8DD1" w14:textId="099B0F30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26. Identyfikacja sieci komputerowych, do których jest podłączony system operacyjny, zapamiętywanie ustawień i przypisywanie do min. 3 kategorii bezpieczeństwa (z predefiniowanymi </w:t>
            </w: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lastRenderedPageBreak/>
              <w:t>odpowiednio do kategorii ustawieniami zapory sieciowej, udostępniania plików itp.).</w:t>
            </w:r>
          </w:p>
          <w:p w14:paraId="58F365B9" w14:textId="1D9760B7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27. Wbudowany system uwierzytelnienia dwuskładnikowego oparty o certyfikat lub klucz prywatny oraz PIN lub uwierzytelnienie biometryczne.</w:t>
            </w:r>
          </w:p>
          <w:p w14:paraId="0C924E8A" w14:textId="0AABF098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28. Wbudowane mechanizmy ochrony antywirusowej i przeciw złośliwemu oprogramowaniu z zapewnionymi bezpłatnymi aktualizacjami.</w:t>
            </w:r>
          </w:p>
          <w:p w14:paraId="63DBBFEC" w14:textId="1CBDBBAF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29. Wbudowany system szyfrowania dysku twardego ze wsparciem modułu TPM.</w:t>
            </w:r>
          </w:p>
          <w:p w14:paraId="04947829" w14:textId="5DAE2AB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30. Wsparcie dla 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firmware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UEFI i funkcji bezpiecznego rozruchu (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Secure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Boot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).</w:t>
            </w:r>
          </w:p>
          <w:p w14:paraId="385172A2" w14:textId="357014D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31. Mechanizmy logowania w oparciu o:</w:t>
            </w:r>
          </w:p>
          <w:p w14:paraId="27A7829A" w14:textId="3B52EFB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a. Login i hasło,</w:t>
            </w:r>
          </w:p>
          <w:p w14:paraId="604A07F0" w14:textId="0677BD2C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b. Karty inteligentne i certyfikaty (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smartcard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),</w:t>
            </w:r>
          </w:p>
          <w:p w14:paraId="131F72A8" w14:textId="4B0BAD5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c. Wirtualne karty inteligentne i certyfikaty (logowanie w oparciu o certyfikat chroniony poprzez moduł TPM),</w:t>
            </w:r>
          </w:p>
          <w:p w14:paraId="387E6329" w14:textId="571E27F1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d. Certyfikat/Klucz i PIN.</w:t>
            </w:r>
          </w:p>
          <w:p w14:paraId="591352D9" w14:textId="3E35483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32. Wbudowany agent do zbierania danych na temat zagrożeń na stacji roboczej.</w:t>
            </w:r>
          </w:p>
          <w:p w14:paraId="555E393B" w14:textId="6D6D3502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33. Wsparcie .NET Framework 2.x, 3.x i 4.x – możliwość uruchomienia aplikacji działających we wskazanych środowiskach.</w:t>
            </w:r>
          </w:p>
          <w:p w14:paraId="1AC66394" w14:textId="4E7D73E5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34. Wsparcie dla </w:t>
            </w:r>
            <w:proofErr w:type="spellStart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VBScript</w:t>
            </w:r>
            <w:proofErr w:type="spellEnd"/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 – możliwość uruchamiania interpretera poleceń.</w:t>
            </w:r>
          </w:p>
          <w:p w14:paraId="1D2FD696" w14:textId="77777777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  <w:t>35. Wsparcie dla PowerShell 5.x – możliwość uruchamiania interpretera poleceń.</w:t>
            </w:r>
          </w:p>
          <w:p w14:paraId="17A9DE72" w14:textId="77777777" w:rsidR="00B6488C" w:rsidRPr="008C4E8E" w:rsidRDefault="00B6488C" w:rsidP="008633D0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</w:p>
          <w:p w14:paraId="1000C9EA" w14:textId="5BF980B8" w:rsidR="00B6488C" w:rsidRDefault="00B6488C" w:rsidP="00F8069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Zamawiający nie dopuszcza systemu z rynku wtórego, używanego. Zamawiający nie wyraża zgody na dostarczenie systemu instalowanego przez wykonawcę. W przypadku stwierdzenia i podejrzenia że system operacyjny nie został zainstalowany przez producenta Zamawiający będzie wymagał oświadczenia producenta komputera potwierdzającego że system jest fabrycznie instalowany – w przypadku negatywnego potwierdzenia Zamawiający nie przyjmie dos</w:t>
            </w:r>
            <w:r w:rsidR="007E44A2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tawy jako niezgodnej z opisem S</w:t>
            </w: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WZ.</w:t>
            </w:r>
          </w:p>
          <w:p w14:paraId="3CA59BD5" w14:textId="505328FC" w:rsidR="00B6488C" w:rsidRPr="008C4E8E" w:rsidRDefault="00B6488C" w:rsidP="00F8069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C57B4E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Zamawiający nie dopuszcza rozwiązań licencyjnych wymagających stałych opłat w okresie użytkowania systemu operacyjnego.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4380" w14:textId="77777777" w:rsidR="00B6488C" w:rsidRPr="008C4E8E" w:rsidRDefault="00B6488C" w:rsidP="008633D0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6488C" w:rsidRPr="008C4E8E" w14:paraId="61586727" w14:textId="2E2338D4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19EF" w14:textId="77777777" w:rsidR="00B6488C" w:rsidRPr="00233768" w:rsidRDefault="00B6488C" w:rsidP="00795D0A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D64A" w14:textId="310ADC49" w:rsidR="00B6488C" w:rsidRPr="00233768" w:rsidRDefault="00B6488C" w:rsidP="00860896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768"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>Gwarancja</w:t>
            </w:r>
            <w:r>
              <w:rPr>
                <w:rFonts w:ascii="Verdana" w:hAnsi="Verdana" w:cs="Arial"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5191" w14:textId="77777777" w:rsidR="002550E0" w:rsidRPr="002550E0" w:rsidRDefault="002550E0" w:rsidP="002550E0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2550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Gwarancja producenta urządzenia min. 24 miesiące. Wymagane jest dostarczenie do każdego urządzenia w wersji papierowej i w języku polskim karty gwarancyjnej i wszelkie dokumenty niezbędne do realizacji uprawnień gwarancyjnych. </w:t>
            </w:r>
          </w:p>
          <w:p w14:paraId="1DD07655" w14:textId="5BE1DC80" w:rsidR="00B6488C" w:rsidRPr="008C4E8E" w:rsidRDefault="002550E0" w:rsidP="002550E0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2550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Serwis urządzeń musi być realizowany przez producenta lub autoryzowanego partnera serwisowego producenta za pośrednictwem Wykonawcy – wymagane oświadczenie Wykonawcy (lub jego przedstawiciela w Polsce) potwierdzające, że serwis będzie </w:t>
            </w:r>
            <w:r w:rsidRPr="002550E0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lastRenderedPageBreak/>
              <w:t>realizowany przez Producenta lub Autoryzowanego Partnera Serwisowego producenta.  Wymagane okno czasowe dla zgłaszania usterek min. wszystkie dni robocze w godzinach od 8:00 do 16:00. Zgłoszenie serwisowe przyjmowane poprzez stronę www lub telefonicznie.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E0C1" w14:textId="77777777" w:rsidR="00B6488C" w:rsidRPr="008C4E8E" w:rsidRDefault="00B6488C" w:rsidP="005A28F0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B6488C" w:rsidRPr="008C4E8E" w14:paraId="4EB9D548" w14:textId="18860762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3FED" w14:textId="77777777" w:rsidR="00B6488C" w:rsidRPr="008C4E8E" w:rsidRDefault="00B6488C" w:rsidP="00795D0A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2B22" w14:textId="13EB281B" w:rsidR="00B6488C" w:rsidRPr="008C4E8E" w:rsidRDefault="00B6488C" w:rsidP="00795D0A">
            <w:pPr>
              <w:tabs>
                <w:tab w:val="left" w:pos="213"/>
              </w:tabs>
              <w:spacing w:line="300" w:lineRule="exac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Wsparcie techniczne producenta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F9D" w14:textId="77777777" w:rsidR="00B6488C" w:rsidRPr="008C4E8E" w:rsidRDefault="00B6488C" w:rsidP="00795D0A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Dostęp do aktualizacji systemu BIOS, podręczników użytkownika, najnowszych sterowników i uaktualnień na stronie producenta zestawu realizowany poprzez podanie na dedykowanej stronie internetowej producenta komputera numeru seryjnego lub modelu komputera,</w:t>
            </w:r>
          </w:p>
          <w:p w14:paraId="1FCEF33D" w14:textId="1D8D6F92" w:rsidR="00B6488C" w:rsidRPr="008C4E8E" w:rsidRDefault="00B6488C" w:rsidP="00795D0A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weryfikacji u producenta konfiguracji fabrycznej zakupionego sprzętu,</w:t>
            </w:r>
          </w:p>
          <w:p w14:paraId="2B424558" w14:textId="2A42E97D" w:rsidR="00B6488C" w:rsidRPr="008C4E8E" w:rsidRDefault="00B6488C" w:rsidP="00795D0A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weryfikacji na stronie producenta posiadanej/wykupionej gwarancji,</w:t>
            </w:r>
          </w:p>
          <w:p w14:paraId="33C95B21" w14:textId="2187BE43" w:rsidR="00B6488C" w:rsidRPr="008C4E8E" w:rsidRDefault="00B6488C" w:rsidP="00795D0A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weryfikacji statusu naprawy urządzenia po podaniu unikalnego numeru seryjnego.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0813" w14:textId="77777777" w:rsidR="00B6488C" w:rsidRPr="008C4E8E" w:rsidRDefault="00B6488C" w:rsidP="00795D0A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4169C967" w14:textId="7600BA0F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E3D0" w14:textId="77777777" w:rsidR="00B6488C" w:rsidRPr="008C4E8E" w:rsidRDefault="00B6488C" w:rsidP="00795D0A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7BF4" w14:textId="25725D61" w:rsidR="00B6488C" w:rsidRPr="008C4E8E" w:rsidRDefault="00B6488C" w:rsidP="00795D0A">
            <w:pPr>
              <w:tabs>
                <w:tab w:val="left" w:pos="213"/>
              </w:tabs>
              <w:spacing w:line="300" w:lineRule="exact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Mysz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0DDE" w14:textId="2050A927" w:rsidR="00B6488C" w:rsidRPr="008C4E8E" w:rsidRDefault="00B6488C" w:rsidP="007F67C8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Zewnętrzna optyczna mysz przewodowa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ze złączem USB, dwuklawiszowa</w:t>
            </w: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z rolką.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C6A4" w14:textId="77777777" w:rsidR="00B6488C" w:rsidRPr="008C4E8E" w:rsidRDefault="00B6488C" w:rsidP="007F67C8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2180B7C6" w14:textId="2747385A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000D" w14:textId="77777777" w:rsidR="00B6488C" w:rsidRPr="008C4E8E" w:rsidRDefault="00B6488C" w:rsidP="00795D0A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9B55" w14:textId="0D037E7A" w:rsidR="00B6488C" w:rsidRPr="008C4E8E" w:rsidRDefault="00B6488C" w:rsidP="00795D0A">
            <w:pPr>
              <w:tabs>
                <w:tab w:val="left" w:pos="213"/>
              </w:tabs>
              <w:spacing w:line="300" w:lineRule="exact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C4E8E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Pakiet biurowy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9024" w14:textId="77777777" w:rsidR="00B6488C" w:rsidRDefault="00B6488C" w:rsidP="00EF3EB4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Pakiet biurowy Microsoft Office 2019, licencja wieczysta, pełna polska wersja językowa interfejsu użytkownika, funkcjonalność musi zawierać następujące aplikacje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:</w:t>
            </w:r>
          </w:p>
          <w:p w14:paraId="7457AB1D" w14:textId="77777777" w:rsidR="00B6488C" w:rsidRDefault="00B6488C" w:rsidP="00EF3EB4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  <w:p w14:paraId="127050D3" w14:textId="38140D86" w:rsidR="00B6488C" w:rsidRPr="00EF3EB4" w:rsidRDefault="00B6488C" w:rsidP="00EF3EB4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E</w:t>
            </w:r>
            <w:r w:rsidRPr="00EF3EB4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dytor tekstu:</w:t>
            </w:r>
          </w:p>
          <w:p w14:paraId="65101C4C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F3EB4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edycja i formatowanie tekstu w języku polskim wraz z obsługą języka polskiego w zakresie sprawdzania pisowni 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poprawności gramatycznej oraz funkcjonalnością słownika wyrazów bliskoznacznych i autokorekty,</w:t>
            </w:r>
          </w:p>
          <w:p w14:paraId="4BEA9947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wstawianie oraz formatowanie tabel,</w:t>
            </w:r>
          </w:p>
          <w:p w14:paraId="386BABDF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wstawianie oraz formatowanie obiektów graficznych,</w:t>
            </w:r>
          </w:p>
          <w:p w14:paraId="444B41F5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wstawianie wykresów i tabel z arkusza kalkulacyjnego (wliczając tabele przestawne),</w:t>
            </w:r>
          </w:p>
          <w:p w14:paraId="0B781287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automatyczne numerowanie rozdziałów, punktów, akapitów, tabel i rysunków,</w:t>
            </w:r>
          </w:p>
          <w:p w14:paraId="540CE9AB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automatyczne tworzenie spisów treści,</w:t>
            </w:r>
          </w:p>
          <w:p w14:paraId="0FD39E2F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formatowanie nagłówków i stopek stron,</w:t>
            </w:r>
          </w:p>
          <w:p w14:paraId="64FFEAB6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sprawdzanie pisowni w języku polskim,</w:t>
            </w:r>
          </w:p>
          <w:p w14:paraId="4724517E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śledzenie zmian wprowadzonych przez użytkowników,</w:t>
            </w:r>
          </w:p>
          <w:p w14:paraId="1FF65F0D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nagrywanie, tworzenie i edycję makr automatyzujących wykonywanie czynności,</w:t>
            </w:r>
          </w:p>
          <w:p w14:paraId="7866BFF2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lastRenderedPageBreak/>
              <w:t>określenie układu strony (pionowa/pozioma),</w:t>
            </w:r>
          </w:p>
          <w:p w14:paraId="73B66A2C" w14:textId="77777777" w:rsidR="00B6488C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wykonywanie korespondencji seryjnej bazując na danych adresowych pochodzących z arkusza kalkulacyjnego i z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narzędzia do zarządzania informacją prywatną,</w:t>
            </w:r>
          </w:p>
          <w:p w14:paraId="5CBEE267" w14:textId="3BA2E84B" w:rsidR="00B6488C" w:rsidRPr="00007B53" w:rsidRDefault="00B6488C" w:rsidP="00EF3EB4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zabezpieczenie dokumentów hasłem przed odczytem oraz przed wprowadzaniem modyfikacji.</w:t>
            </w:r>
          </w:p>
          <w:p w14:paraId="5E32186D" w14:textId="77777777" w:rsidR="00B6488C" w:rsidRDefault="00B6488C" w:rsidP="00007B5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  <w:p w14:paraId="3DA212AE" w14:textId="27B82361" w:rsidR="00B6488C" w:rsidRPr="00007B53" w:rsidRDefault="00B6488C" w:rsidP="00007B5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A</w:t>
            </w: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rkusz kalkulacyjn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y</w:t>
            </w: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:</w:t>
            </w:r>
          </w:p>
          <w:p w14:paraId="5B3A4C4B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tworzenie raportów tabelarycznych,</w:t>
            </w:r>
          </w:p>
          <w:p w14:paraId="7EEDCD52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tworzenie wykresów liniowych (wraz z linią trendu), słupkowych, kołowych,</w:t>
            </w:r>
          </w:p>
          <w:p w14:paraId="7D3821B6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tworzenie arkuszy kalkulacyjnych zawierających teksty, dane liczbowe oraz formuły przeprowadzające operacje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matematyczne, logiczne, tekstowe, statystyczne oraz operacje na danych finansowych i na miarach czasu,</w:t>
            </w:r>
          </w:p>
          <w:p w14:paraId="563169D1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tworzenie raportów z zewnętrznych źródeł danych (inne arkusze kalkulacyjne, bazy danych zgodne z ODBC, pliki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tekstowe, pliki XML, </w:t>
            </w:r>
            <w:proofErr w:type="spellStart"/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webservice</w:t>
            </w:r>
            <w:proofErr w:type="spellEnd"/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),</w:t>
            </w:r>
          </w:p>
          <w:p w14:paraId="172C3B96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7B5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obsługę kostek OLAP oraz tworzenie i edycję kwerend bazodanowych i webowych. Narzędzia wspomagające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analizę statystyczną i finansową, analizę wariantową i rozwiązywanie problemów optymalizacyjnych,</w:t>
            </w:r>
          </w:p>
          <w:p w14:paraId="6DB676A7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tworzenie raportów tabeli przestawnych umożliwiających dynamiczną zmianę wymiarów oraz wykresów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bazujących na danych z tabeli przestawnych,</w:t>
            </w:r>
          </w:p>
          <w:p w14:paraId="0AEAF73A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wyszukiwanie i zmianę danych,</w:t>
            </w:r>
          </w:p>
          <w:p w14:paraId="5F52F81F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wykonywanie analiz danych przy użyciu formatowania warunkowego,</w:t>
            </w:r>
          </w:p>
          <w:p w14:paraId="05C7C2AE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nazywanie komórek arkusza i odwoływanie się w formułach po takiej nazwie,</w:t>
            </w:r>
          </w:p>
          <w:p w14:paraId="1976E98D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nagrywanie, tworzenie i edycję makr automatyzujących wykonywanie czynności,</w:t>
            </w:r>
          </w:p>
          <w:p w14:paraId="5A089AAD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formatowanie czasu, daty i wartości finansowych z polskich formatem,</w:t>
            </w:r>
          </w:p>
          <w:p w14:paraId="6143C266" w14:textId="77777777" w:rsidR="00B6488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zapis wielu arkuszy kalkulacyjnych w jednym pliku,</w:t>
            </w:r>
          </w:p>
          <w:p w14:paraId="086A78EC" w14:textId="498DD57C" w:rsidR="00B6488C" w:rsidRPr="002A725C" w:rsidRDefault="00B6488C" w:rsidP="00007B53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zabezpieczenie dokumentów hasłem przed odczytem, oraz przed wprowadzaniem modyfikacji.</w:t>
            </w:r>
          </w:p>
          <w:p w14:paraId="18339919" w14:textId="77777777" w:rsidR="00B6488C" w:rsidRDefault="00B6488C" w:rsidP="007F67C8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  <w:p w14:paraId="7BB1915E" w14:textId="440F11BA" w:rsidR="00B6488C" w:rsidRPr="002A725C" w:rsidRDefault="00B6488C" w:rsidP="002A725C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N</w:t>
            </w: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arzędzi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e</w:t>
            </w: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do przygotowania i prowadzenia prezentacji:</w:t>
            </w:r>
          </w:p>
          <w:p w14:paraId="35BACA3D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przygotowanie prezentacji multimedialnych, które będą </w:t>
            </w: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lastRenderedPageBreak/>
              <w:t>prezentowane przy użyciu projektora multimedialnego,</w:t>
            </w:r>
          </w:p>
          <w:p w14:paraId="5BA34F31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drukowanie w formacie umożliwiającym robienie notatek,</w:t>
            </w:r>
          </w:p>
          <w:p w14:paraId="5A238D37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zapisanie jako prezentacja tylko do odczytu,</w:t>
            </w:r>
          </w:p>
          <w:p w14:paraId="1D7F3D95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nagrywanie narracji i dołączanie jej do prezentacji,</w:t>
            </w:r>
          </w:p>
          <w:p w14:paraId="3731167C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opatrywanie slajdów notatkami dla prezentera,</w:t>
            </w:r>
          </w:p>
          <w:p w14:paraId="18D0397E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umieszczanie i formatowanie tekstów, obiektów graficznych, tabel, nagrań dźwiękowych i wideo,</w:t>
            </w:r>
          </w:p>
          <w:p w14:paraId="2A763202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umieszczanie tabeli i wykresów pochodzących z arkusza kalkulacyjnego,</w:t>
            </w:r>
          </w:p>
          <w:p w14:paraId="58794DFC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odświeżenie wykresu znajdującego się w prezentacji po zmianie danych w źródłowym arkuszu kalkulacyjnym,</w:t>
            </w:r>
          </w:p>
          <w:p w14:paraId="725C2790" w14:textId="77777777" w:rsidR="00B6488C" w:rsidRDefault="00B6488C" w:rsidP="002A725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tworzenia animacji obiektów i całych slajdów,</w:t>
            </w:r>
          </w:p>
          <w:p w14:paraId="2DBF6F46" w14:textId="2BA0492A" w:rsidR="00B6488C" w:rsidRPr="002A725C" w:rsidRDefault="00B6488C" w:rsidP="004F1FD8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prowadzenie prezentacji w trybie prezentera, gdzie slajdy są widoczne na jednym monitorze lub projektorze, a na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2A725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drugim widoczne są slajdy i notatki prezentera.</w:t>
            </w:r>
          </w:p>
          <w:p w14:paraId="58943B56" w14:textId="77777777" w:rsidR="00B6488C" w:rsidRDefault="00B6488C" w:rsidP="007F67C8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  <w:p w14:paraId="2C1AF6F4" w14:textId="6B4887F2" w:rsidR="00B6488C" w:rsidRPr="008C4E8E" w:rsidRDefault="00B6488C" w:rsidP="007F67C8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8C4E8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Wszystkie aplikacje w pakiecie oprogramowania biurowego muszą być integralną częścią tego samego pakietu, współpracować ze sobą (osadzanie i wymiana danych), posiadać jednolity interfejs oraz ten sam jednolity sposób obsługi.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A611" w14:textId="77777777" w:rsidR="00B6488C" w:rsidRPr="008C4E8E" w:rsidRDefault="00B6488C" w:rsidP="00EF3EB4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169885F4" w14:textId="0E74BE0F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F4D0" w14:textId="77777777" w:rsidR="00B6488C" w:rsidRPr="008C4E8E" w:rsidRDefault="00B6488C" w:rsidP="00795D0A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AD60" w14:textId="34C0B86E" w:rsidR="00B6488C" w:rsidRPr="008C4E8E" w:rsidRDefault="00B6488C" w:rsidP="00795D0A">
            <w:pPr>
              <w:tabs>
                <w:tab w:val="left" w:pos="213"/>
              </w:tabs>
              <w:spacing w:line="300" w:lineRule="exact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>Głośniki zewnętrzne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FF3C" w14:textId="7F5C56D5" w:rsidR="00B6488C" w:rsidRPr="008C4E8E" w:rsidRDefault="00B6488C" w:rsidP="003F266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Przewodowe, 2-kanałowe, moc RMS 6W, z regulacją głośności, złącze </w:t>
            </w:r>
            <w:r w:rsidRPr="0034046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1 x </w:t>
            </w:r>
            <w:proofErr w:type="spellStart"/>
            <w:r w:rsidRPr="0034046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miniJack</w:t>
            </w:r>
            <w:proofErr w:type="spellEnd"/>
            <w:r w:rsidRPr="0034046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(3.5 mm)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1 x USB, bez zasilacza zewnętrznego.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FDDF" w14:textId="77777777" w:rsidR="00B6488C" w:rsidRDefault="00B6488C" w:rsidP="003F266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B6488C" w:rsidRPr="008C4E8E" w14:paraId="6AE612E6" w14:textId="7437253B" w:rsidTr="00B6488C">
        <w:trPr>
          <w:trHeight w:val="284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79FF" w14:textId="77777777" w:rsidR="00B6488C" w:rsidRPr="008C4E8E" w:rsidRDefault="00B6488C" w:rsidP="00795D0A">
            <w:pPr>
              <w:numPr>
                <w:ilvl w:val="0"/>
                <w:numId w:val="1"/>
              </w:num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1A62" w14:textId="3D10F867" w:rsidR="00B6488C" w:rsidRDefault="00B6488C" w:rsidP="00795D0A">
            <w:pPr>
              <w:tabs>
                <w:tab w:val="left" w:pos="213"/>
              </w:tabs>
              <w:spacing w:line="300" w:lineRule="exact"/>
              <w:jc w:val="both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en-US"/>
              </w:rPr>
              <w:t xml:space="preserve">Słuchawki 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E70F" w14:textId="4BC4D5B2" w:rsidR="00B6488C" w:rsidRPr="008C4E8E" w:rsidRDefault="00B6488C" w:rsidP="003F266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Przewodowe, nauszne, z mikrofonem, z regulacją głośności, złącze </w:t>
            </w:r>
            <w:r w:rsidRPr="00340460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1 x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USB, pasmo przenoszenia minimum </w:t>
            </w:r>
            <w:r w:rsidRPr="00340460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20Hz - 20kHz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44BE" w14:textId="77777777" w:rsidR="00B6488C" w:rsidRDefault="00B6488C" w:rsidP="003F266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</w:tbl>
    <w:p w14:paraId="26F736D2" w14:textId="77777777" w:rsidR="00921DFF" w:rsidRDefault="00921DFF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p w14:paraId="7B35D342" w14:textId="5873295A" w:rsidR="00921DFF" w:rsidRDefault="004C628D" w:rsidP="004C628D">
      <w:pPr>
        <w:jc w:val="both"/>
        <w:rPr>
          <w:rFonts w:ascii="Verdana" w:hAnsi="Verdana" w:cs="Arial"/>
          <w:color w:val="000000" w:themeColor="text1"/>
          <w:sz w:val="16"/>
          <w:szCs w:val="16"/>
        </w:rPr>
      </w:pPr>
      <w:r>
        <w:rPr>
          <w:rFonts w:ascii="Verdana" w:hAnsi="Verdana" w:cs="Arial"/>
          <w:color w:val="000000" w:themeColor="text1"/>
          <w:sz w:val="16"/>
          <w:szCs w:val="16"/>
        </w:rPr>
        <w:t>Podane w zestawieniu przedmiotu zamówienia opisy, czy parametry techniczne należy traktować jako minimalne. Przedmioty można zastąpić innymi dostępnymi w handlu posiadającymi takie same lub lepsze cechy użytkowe niż wymienione w specyfikacji.</w:t>
      </w:r>
    </w:p>
    <w:p w14:paraId="09BAA5B1" w14:textId="58CEB309" w:rsidR="004C628D" w:rsidRDefault="004C628D" w:rsidP="004C628D">
      <w:pPr>
        <w:jc w:val="both"/>
        <w:rPr>
          <w:rFonts w:ascii="Verdana" w:hAnsi="Verdana" w:cs="Arial"/>
          <w:color w:val="000000" w:themeColor="text1"/>
          <w:sz w:val="16"/>
          <w:szCs w:val="16"/>
        </w:rPr>
      </w:pPr>
      <w:r>
        <w:rPr>
          <w:rFonts w:ascii="Verdana" w:hAnsi="Verdana" w:cs="Arial"/>
          <w:color w:val="000000" w:themeColor="text1"/>
          <w:sz w:val="16"/>
          <w:szCs w:val="16"/>
        </w:rPr>
        <w:t xml:space="preserve">Wszelkie użyte w opisie przedmiotu zamówienia nazwy, typy i pochodzenie sprzętu nie są dla wykonawców wiążące, mają jedynie charakter pomocniczy. W przypadku użytych w opisie – nazw, typów lub pochodzenia – towarzyszy im zapis „lub równoważny”, co oznacza, że Zamawiający dopuszcza stosowanie równoważnych produktów, gdzie produkt równoważny oznacza taki produkt, który ma takie same cechy, funkcje oraz parametry i standardy jakościowe lub lepsze co wskazany w opisie konkretny z nazwy lub pochodzenia. </w:t>
      </w:r>
    </w:p>
    <w:p w14:paraId="5AF680D6" w14:textId="4BFE0903" w:rsidR="00921DFF" w:rsidRPr="00921DFF" w:rsidRDefault="00921DFF" w:rsidP="00D42669">
      <w:pPr>
        <w:rPr>
          <w:rFonts w:ascii="Verdana" w:hAnsi="Verdana" w:cs="Arial"/>
          <w:color w:val="000000" w:themeColor="text1"/>
          <w:sz w:val="18"/>
          <w:szCs w:val="16"/>
        </w:rPr>
      </w:pPr>
    </w:p>
    <w:p w14:paraId="328B5F33" w14:textId="77777777" w:rsidR="00E30264" w:rsidRPr="00921DFF" w:rsidRDefault="00E30264">
      <w:pPr>
        <w:rPr>
          <w:rFonts w:ascii="Verdana" w:hAnsi="Verdana" w:cs="Arial"/>
          <w:color w:val="000000" w:themeColor="text1"/>
          <w:sz w:val="18"/>
          <w:szCs w:val="16"/>
        </w:rPr>
      </w:pPr>
    </w:p>
    <w:sectPr w:rsidR="00E30264" w:rsidRPr="00921DFF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17CE8" w14:textId="77777777" w:rsidR="001B5B08" w:rsidRDefault="001B5B08" w:rsidP="007D5474">
      <w:r>
        <w:separator/>
      </w:r>
    </w:p>
  </w:endnote>
  <w:endnote w:type="continuationSeparator" w:id="0">
    <w:p w14:paraId="6F16220E" w14:textId="77777777" w:rsidR="001B5B08" w:rsidRDefault="001B5B08" w:rsidP="007D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0408E" w14:textId="77777777" w:rsidR="001B5B08" w:rsidRDefault="001B5B08" w:rsidP="007D5474">
      <w:r>
        <w:separator/>
      </w:r>
    </w:p>
  </w:footnote>
  <w:footnote w:type="continuationSeparator" w:id="0">
    <w:p w14:paraId="5C11C17F" w14:textId="77777777" w:rsidR="001B5B08" w:rsidRDefault="001B5B08" w:rsidP="007D5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46F35" w14:textId="75B99493" w:rsidR="007D5474" w:rsidRDefault="0079407A" w:rsidP="007D5474">
    <w:pPr>
      <w:pStyle w:val="Nagwek"/>
      <w:jc w:val="center"/>
    </w:pPr>
    <w:r>
      <w:rPr>
        <w:noProof/>
      </w:rPr>
      <w:drawing>
        <wp:inline distT="0" distB="0" distL="0" distR="0" wp14:anchorId="333C1DA3" wp14:editId="00F2BD35">
          <wp:extent cx="5760720" cy="803050"/>
          <wp:effectExtent l="0" t="0" r="0" b="0"/>
          <wp:docPr id="1" name="Obraz 1" descr="C:\Users\romanowskan\AppData\Local\Microsoft\Windows\Temporary Internet Files\Content.Word\FE_POPC_poziom_pl-1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manowskan\AppData\Local\Microsoft\Windows\Temporary Internet Files\Content.Word\FE_POPC_poziom_pl-1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52C70" w14:textId="77777777" w:rsidR="00547BBE" w:rsidRDefault="00547BBE" w:rsidP="007D5474">
    <w:pPr>
      <w:pStyle w:val="Nagwek"/>
      <w:jc w:val="center"/>
    </w:pPr>
  </w:p>
  <w:p w14:paraId="75769C47" w14:textId="1CA56BDC" w:rsidR="00547BBE" w:rsidRDefault="00547BBE" w:rsidP="007D5474">
    <w:pPr>
      <w:pStyle w:val="Nagwek"/>
      <w:jc w:val="center"/>
    </w:pPr>
    <w:r>
      <w:t>Opis przedmiotu zamówienia –załącznik nr 1 do SWZ</w:t>
    </w:r>
  </w:p>
  <w:p w14:paraId="1127A8D2" w14:textId="77777777" w:rsidR="00547BBE" w:rsidRDefault="00547BBE" w:rsidP="007D547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1B28"/>
    <w:multiLevelType w:val="hybridMultilevel"/>
    <w:tmpl w:val="F65A9C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54A03"/>
    <w:multiLevelType w:val="hybridMultilevel"/>
    <w:tmpl w:val="2C74A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291"/>
    <w:multiLevelType w:val="hybridMultilevel"/>
    <w:tmpl w:val="C6F2D7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3A4C95"/>
    <w:multiLevelType w:val="hybridMultilevel"/>
    <w:tmpl w:val="7C8A34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81021C"/>
    <w:multiLevelType w:val="hybridMultilevel"/>
    <w:tmpl w:val="577E10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05C27"/>
    <w:multiLevelType w:val="hybridMultilevel"/>
    <w:tmpl w:val="165E8F9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1" w15:restartNumberingAfterBreak="0">
    <w:nsid w:val="7A444295"/>
    <w:multiLevelType w:val="hybridMultilevel"/>
    <w:tmpl w:val="0BAE6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7"/>
  </w:num>
  <w:num w:numId="5">
    <w:abstractNumId w:val="17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4"/>
  </w:num>
  <w:num w:numId="12">
    <w:abstractNumId w:val="20"/>
  </w:num>
  <w:num w:numId="13">
    <w:abstractNumId w:val="1"/>
  </w:num>
  <w:num w:numId="14">
    <w:abstractNumId w:val="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2"/>
  </w:num>
  <w:num w:numId="18">
    <w:abstractNumId w:val="15"/>
  </w:num>
  <w:num w:numId="19">
    <w:abstractNumId w:val="13"/>
  </w:num>
  <w:num w:numId="20">
    <w:abstractNumId w:val="21"/>
  </w:num>
  <w:num w:numId="21">
    <w:abstractNumId w:val="2"/>
  </w:num>
  <w:num w:numId="22">
    <w:abstractNumId w:val="5"/>
  </w:num>
  <w:num w:numId="23">
    <w:abstractNumId w:val="0"/>
  </w:num>
  <w:num w:numId="24">
    <w:abstractNumId w:val="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de-DE" w:vendorID="64" w:dllVersion="6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0A"/>
    <w:rsid w:val="00007B53"/>
    <w:rsid w:val="00017C39"/>
    <w:rsid w:val="0002469B"/>
    <w:rsid w:val="00025E25"/>
    <w:rsid w:val="000274C5"/>
    <w:rsid w:val="000304A5"/>
    <w:rsid w:val="0003444B"/>
    <w:rsid w:val="0004121B"/>
    <w:rsid w:val="00047631"/>
    <w:rsid w:val="00061F11"/>
    <w:rsid w:val="000662FE"/>
    <w:rsid w:val="00071918"/>
    <w:rsid w:val="00071E2F"/>
    <w:rsid w:val="000737C1"/>
    <w:rsid w:val="00074125"/>
    <w:rsid w:val="00082C03"/>
    <w:rsid w:val="00084621"/>
    <w:rsid w:val="000913AC"/>
    <w:rsid w:val="00092B04"/>
    <w:rsid w:val="000A4145"/>
    <w:rsid w:val="000A544C"/>
    <w:rsid w:val="000B1D15"/>
    <w:rsid w:val="000D0251"/>
    <w:rsid w:val="000F5888"/>
    <w:rsid w:val="000F7BE0"/>
    <w:rsid w:val="00101BAC"/>
    <w:rsid w:val="001427D7"/>
    <w:rsid w:val="00154815"/>
    <w:rsid w:val="00157D3B"/>
    <w:rsid w:val="001668AA"/>
    <w:rsid w:val="00171250"/>
    <w:rsid w:val="00177B09"/>
    <w:rsid w:val="001809CE"/>
    <w:rsid w:val="00187968"/>
    <w:rsid w:val="001A0271"/>
    <w:rsid w:val="001B5B08"/>
    <w:rsid w:val="001C1681"/>
    <w:rsid w:val="001D60DC"/>
    <w:rsid w:val="001E49FF"/>
    <w:rsid w:val="00227FA0"/>
    <w:rsid w:val="00233768"/>
    <w:rsid w:val="00236B87"/>
    <w:rsid w:val="00240090"/>
    <w:rsid w:val="002512B4"/>
    <w:rsid w:val="0025477C"/>
    <w:rsid w:val="002550E0"/>
    <w:rsid w:val="00255845"/>
    <w:rsid w:val="002635AC"/>
    <w:rsid w:val="00273D11"/>
    <w:rsid w:val="0027626F"/>
    <w:rsid w:val="002900EC"/>
    <w:rsid w:val="00293574"/>
    <w:rsid w:val="002954CC"/>
    <w:rsid w:val="002A5679"/>
    <w:rsid w:val="002A725C"/>
    <w:rsid w:val="002B0890"/>
    <w:rsid w:val="002D484E"/>
    <w:rsid w:val="002E2324"/>
    <w:rsid w:val="002E77B5"/>
    <w:rsid w:val="002F1DA2"/>
    <w:rsid w:val="002F4699"/>
    <w:rsid w:val="003005E7"/>
    <w:rsid w:val="003114C9"/>
    <w:rsid w:val="00312E8A"/>
    <w:rsid w:val="00323ACD"/>
    <w:rsid w:val="00331D6C"/>
    <w:rsid w:val="003365F2"/>
    <w:rsid w:val="00340460"/>
    <w:rsid w:val="00343462"/>
    <w:rsid w:val="00350517"/>
    <w:rsid w:val="00351427"/>
    <w:rsid w:val="003535A7"/>
    <w:rsid w:val="0035471A"/>
    <w:rsid w:val="00362C9F"/>
    <w:rsid w:val="00387F9D"/>
    <w:rsid w:val="00393249"/>
    <w:rsid w:val="003C372D"/>
    <w:rsid w:val="003D5D3D"/>
    <w:rsid w:val="003E297D"/>
    <w:rsid w:val="003F0A71"/>
    <w:rsid w:val="003F2663"/>
    <w:rsid w:val="003F54BA"/>
    <w:rsid w:val="00402B78"/>
    <w:rsid w:val="00403E82"/>
    <w:rsid w:val="0041023E"/>
    <w:rsid w:val="0041060E"/>
    <w:rsid w:val="00413BD7"/>
    <w:rsid w:val="004142D2"/>
    <w:rsid w:val="00416517"/>
    <w:rsid w:val="00427CC3"/>
    <w:rsid w:val="004313DE"/>
    <w:rsid w:val="00431B4C"/>
    <w:rsid w:val="0044644E"/>
    <w:rsid w:val="00446527"/>
    <w:rsid w:val="004523D0"/>
    <w:rsid w:val="00452765"/>
    <w:rsid w:val="00453042"/>
    <w:rsid w:val="00461999"/>
    <w:rsid w:val="00463508"/>
    <w:rsid w:val="004642E1"/>
    <w:rsid w:val="00467D4C"/>
    <w:rsid w:val="00470386"/>
    <w:rsid w:val="00496741"/>
    <w:rsid w:val="004A4057"/>
    <w:rsid w:val="004A528B"/>
    <w:rsid w:val="004B11C1"/>
    <w:rsid w:val="004B5619"/>
    <w:rsid w:val="004C628D"/>
    <w:rsid w:val="004D31A0"/>
    <w:rsid w:val="004D643A"/>
    <w:rsid w:val="004F072C"/>
    <w:rsid w:val="004F2535"/>
    <w:rsid w:val="0050023F"/>
    <w:rsid w:val="00502431"/>
    <w:rsid w:val="00512A1D"/>
    <w:rsid w:val="00513AF3"/>
    <w:rsid w:val="00514B32"/>
    <w:rsid w:val="00524093"/>
    <w:rsid w:val="00526803"/>
    <w:rsid w:val="005273EB"/>
    <w:rsid w:val="00534A39"/>
    <w:rsid w:val="005404F2"/>
    <w:rsid w:val="00540EF5"/>
    <w:rsid w:val="00544123"/>
    <w:rsid w:val="00547BBE"/>
    <w:rsid w:val="00550FB7"/>
    <w:rsid w:val="005607C1"/>
    <w:rsid w:val="00566AB2"/>
    <w:rsid w:val="005722B3"/>
    <w:rsid w:val="00575671"/>
    <w:rsid w:val="0057680A"/>
    <w:rsid w:val="00583A98"/>
    <w:rsid w:val="00586ABF"/>
    <w:rsid w:val="0058776E"/>
    <w:rsid w:val="005A11BF"/>
    <w:rsid w:val="005A1244"/>
    <w:rsid w:val="005A28F0"/>
    <w:rsid w:val="005B1030"/>
    <w:rsid w:val="005B41D8"/>
    <w:rsid w:val="005E088E"/>
    <w:rsid w:val="005E181D"/>
    <w:rsid w:val="005E4B91"/>
    <w:rsid w:val="005F4061"/>
    <w:rsid w:val="006003AB"/>
    <w:rsid w:val="00604FE1"/>
    <w:rsid w:val="00622114"/>
    <w:rsid w:val="006274EF"/>
    <w:rsid w:val="006376D2"/>
    <w:rsid w:val="00640791"/>
    <w:rsid w:val="00651F6B"/>
    <w:rsid w:val="00652543"/>
    <w:rsid w:val="0065480C"/>
    <w:rsid w:val="00654823"/>
    <w:rsid w:val="00656D0A"/>
    <w:rsid w:val="006755B1"/>
    <w:rsid w:val="006759C9"/>
    <w:rsid w:val="0068030F"/>
    <w:rsid w:val="00682151"/>
    <w:rsid w:val="00693651"/>
    <w:rsid w:val="006A3C0D"/>
    <w:rsid w:val="006A69E0"/>
    <w:rsid w:val="006B2EBC"/>
    <w:rsid w:val="006B49B2"/>
    <w:rsid w:val="006C1796"/>
    <w:rsid w:val="006C2F62"/>
    <w:rsid w:val="006C4B32"/>
    <w:rsid w:val="006C5CA9"/>
    <w:rsid w:val="006C6344"/>
    <w:rsid w:val="006D73AF"/>
    <w:rsid w:val="006F496C"/>
    <w:rsid w:val="006F55D8"/>
    <w:rsid w:val="006F790B"/>
    <w:rsid w:val="00701F9B"/>
    <w:rsid w:val="0070254A"/>
    <w:rsid w:val="0070311B"/>
    <w:rsid w:val="007065B4"/>
    <w:rsid w:val="00707BFF"/>
    <w:rsid w:val="00717E36"/>
    <w:rsid w:val="007313D1"/>
    <w:rsid w:val="00732B9C"/>
    <w:rsid w:val="00736E2C"/>
    <w:rsid w:val="00740F50"/>
    <w:rsid w:val="00746DF3"/>
    <w:rsid w:val="0077469C"/>
    <w:rsid w:val="00781D24"/>
    <w:rsid w:val="00790B00"/>
    <w:rsid w:val="00793B5E"/>
    <w:rsid w:val="0079407A"/>
    <w:rsid w:val="00795D0A"/>
    <w:rsid w:val="007972B3"/>
    <w:rsid w:val="007B2BF5"/>
    <w:rsid w:val="007C1FC5"/>
    <w:rsid w:val="007C5F2D"/>
    <w:rsid w:val="007D49D5"/>
    <w:rsid w:val="007D5474"/>
    <w:rsid w:val="007D7BE4"/>
    <w:rsid w:val="007E44A2"/>
    <w:rsid w:val="007F67C8"/>
    <w:rsid w:val="00823CCA"/>
    <w:rsid w:val="00825B10"/>
    <w:rsid w:val="008261E1"/>
    <w:rsid w:val="008348B6"/>
    <w:rsid w:val="008374D9"/>
    <w:rsid w:val="008462D3"/>
    <w:rsid w:val="00850543"/>
    <w:rsid w:val="00852B00"/>
    <w:rsid w:val="00860896"/>
    <w:rsid w:val="00861192"/>
    <w:rsid w:val="008633D0"/>
    <w:rsid w:val="00863A38"/>
    <w:rsid w:val="00870F97"/>
    <w:rsid w:val="00872396"/>
    <w:rsid w:val="00881A4A"/>
    <w:rsid w:val="008835E1"/>
    <w:rsid w:val="00884468"/>
    <w:rsid w:val="00887A0A"/>
    <w:rsid w:val="008B0778"/>
    <w:rsid w:val="008B2F79"/>
    <w:rsid w:val="008B3938"/>
    <w:rsid w:val="008C310C"/>
    <w:rsid w:val="008C4E8E"/>
    <w:rsid w:val="008F24C6"/>
    <w:rsid w:val="008F7CF2"/>
    <w:rsid w:val="00905F74"/>
    <w:rsid w:val="009078DC"/>
    <w:rsid w:val="00921DFF"/>
    <w:rsid w:val="00925016"/>
    <w:rsid w:val="00925735"/>
    <w:rsid w:val="00926984"/>
    <w:rsid w:val="00933818"/>
    <w:rsid w:val="009344BF"/>
    <w:rsid w:val="0093657A"/>
    <w:rsid w:val="009401D5"/>
    <w:rsid w:val="00940F9F"/>
    <w:rsid w:val="00944BA0"/>
    <w:rsid w:val="00946A3C"/>
    <w:rsid w:val="00974BA6"/>
    <w:rsid w:val="00982A1E"/>
    <w:rsid w:val="00982B8F"/>
    <w:rsid w:val="00986061"/>
    <w:rsid w:val="009946AF"/>
    <w:rsid w:val="009978BC"/>
    <w:rsid w:val="009B11DB"/>
    <w:rsid w:val="009B1F1A"/>
    <w:rsid w:val="009B2471"/>
    <w:rsid w:val="009B65DA"/>
    <w:rsid w:val="009C1B2B"/>
    <w:rsid w:val="009F750A"/>
    <w:rsid w:val="00A0282D"/>
    <w:rsid w:val="00A04208"/>
    <w:rsid w:val="00A05F5C"/>
    <w:rsid w:val="00A12726"/>
    <w:rsid w:val="00A15434"/>
    <w:rsid w:val="00A34F6F"/>
    <w:rsid w:val="00A45F27"/>
    <w:rsid w:val="00A623ED"/>
    <w:rsid w:val="00A62E12"/>
    <w:rsid w:val="00A715A0"/>
    <w:rsid w:val="00A97D45"/>
    <w:rsid w:val="00AA71A1"/>
    <w:rsid w:val="00AC0684"/>
    <w:rsid w:val="00AF6EE7"/>
    <w:rsid w:val="00B0547E"/>
    <w:rsid w:val="00B20F7B"/>
    <w:rsid w:val="00B21B08"/>
    <w:rsid w:val="00B31C86"/>
    <w:rsid w:val="00B3453A"/>
    <w:rsid w:val="00B40865"/>
    <w:rsid w:val="00B52A04"/>
    <w:rsid w:val="00B60244"/>
    <w:rsid w:val="00B6488C"/>
    <w:rsid w:val="00B818CE"/>
    <w:rsid w:val="00B94005"/>
    <w:rsid w:val="00B95D51"/>
    <w:rsid w:val="00B96B64"/>
    <w:rsid w:val="00BA18E8"/>
    <w:rsid w:val="00BB36FE"/>
    <w:rsid w:val="00BB60BF"/>
    <w:rsid w:val="00BB6E41"/>
    <w:rsid w:val="00BD520A"/>
    <w:rsid w:val="00BD6550"/>
    <w:rsid w:val="00BD7B32"/>
    <w:rsid w:val="00BE23BD"/>
    <w:rsid w:val="00BF25FD"/>
    <w:rsid w:val="00BF28DF"/>
    <w:rsid w:val="00C01C35"/>
    <w:rsid w:val="00C02132"/>
    <w:rsid w:val="00C061C1"/>
    <w:rsid w:val="00C13B99"/>
    <w:rsid w:val="00C13EB1"/>
    <w:rsid w:val="00C14E19"/>
    <w:rsid w:val="00C16633"/>
    <w:rsid w:val="00C21822"/>
    <w:rsid w:val="00C21AC8"/>
    <w:rsid w:val="00C26CEB"/>
    <w:rsid w:val="00C33DDE"/>
    <w:rsid w:val="00C34EB1"/>
    <w:rsid w:val="00C34EC4"/>
    <w:rsid w:val="00C36227"/>
    <w:rsid w:val="00C52028"/>
    <w:rsid w:val="00C54003"/>
    <w:rsid w:val="00C559B9"/>
    <w:rsid w:val="00C57B4E"/>
    <w:rsid w:val="00C7086F"/>
    <w:rsid w:val="00C72762"/>
    <w:rsid w:val="00C75DC3"/>
    <w:rsid w:val="00C850C3"/>
    <w:rsid w:val="00C90D3C"/>
    <w:rsid w:val="00C91C3E"/>
    <w:rsid w:val="00C93A34"/>
    <w:rsid w:val="00CA0C4F"/>
    <w:rsid w:val="00CA4F24"/>
    <w:rsid w:val="00CB79C3"/>
    <w:rsid w:val="00CD596D"/>
    <w:rsid w:val="00CF7817"/>
    <w:rsid w:val="00D0284B"/>
    <w:rsid w:val="00D05A5E"/>
    <w:rsid w:val="00D235A9"/>
    <w:rsid w:val="00D3657D"/>
    <w:rsid w:val="00D42669"/>
    <w:rsid w:val="00D4383A"/>
    <w:rsid w:val="00D44749"/>
    <w:rsid w:val="00D50AE0"/>
    <w:rsid w:val="00D522A3"/>
    <w:rsid w:val="00D5610D"/>
    <w:rsid w:val="00D574EB"/>
    <w:rsid w:val="00D65CDC"/>
    <w:rsid w:val="00D72427"/>
    <w:rsid w:val="00D8000E"/>
    <w:rsid w:val="00D827A6"/>
    <w:rsid w:val="00D91A38"/>
    <w:rsid w:val="00D931FA"/>
    <w:rsid w:val="00D94F00"/>
    <w:rsid w:val="00D95960"/>
    <w:rsid w:val="00D9702D"/>
    <w:rsid w:val="00DA4CD6"/>
    <w:rsid w:val="00DA6774"/>
    <w:rsid w:val="00DB3FF2"/>
    <w:rsid w:val="00DC050E"/>
    <w:rsid w:val="00DC4072"/>
    <w:rsid w:val="00DE2CBF"/>
    <w:rsid w:val="00DE6251"/>
    <w:rsid w:val="00DF19BB"/>
    <w:rsid w:val="00DF1FAE"/>
    <w:rsid w:val="00DF6206"/>
    <w:rsid w:val="00E070B6"/>
    <w:rsid w:val="00E2583A"/>
    <w:rsid w:val="00E30264"/>
    <w:rsid w:val="00E329A1"/>
    <w:rsid w:val="00E36EF7"/>
    <w:rsid w:val="00E4255E"/>
    <w:rsid w:val="00E45A98"/>
    <w:rsid w:val="00E4641C"/>
    <w:rsid w:val="00E644F9"/>
    <w:rsid w:val="00E77D3A"/>
    <w:rsid w:val="00E83194"/>
    <w:rsid w:val="00E83C72"/>
    <w:rsid w:val="00E909B9"/>
    <w:rsid w:val="00EA4B18"/>
    <w:rsid w:val="00EA4F43"/>
    <w:rsid w:val="00EA53F5"/>
    <w:rsid w:val="00EA6248"/>
    <w:rsid w:val="00EB0068"/>
    <w:rsid w:val="00EB5AC0"/>
    <w:rsid w:val="00EC1B24"/>
    <w:rsid w:val="00ED28E3"/>
    <w:rsid w:val="00ED5991"/>
    <w:rsid w:val="00EE6FFE"/>
    <w:rsid w:val="00EE7E62"/>
    <w:rsid w:val="00EF3EB4"/>
    <w:rsid w:val="00EF42E3"/>
    <w:rsid w:val="00EF77EB"/>
    <w:rsid w:val="00F00681"/>
    <w:rsid w:val="00F02214"/>
    <w:rsid w:val="00F03FB2"/>
    <w:rsid w:val="00F12177"/>
    <w:rsid w:val="00F24BAB"/>
    <w:rsid w:val="00F321DF"/>
    <w:rsid w:val="00F35549"/>
    <w:rsid w:val="00F41599"/>
    <w:rsid w:val="00F47C83"/>
    <w:rsid w:val="00F511E1"/>
    <w:rsid w:val="00F6116D"/>
    <w:rsid w:val="00F73BA1"/>
    <w:rsid w:val="00F7658E"/>
    <w:rsid w:val="00F80693"/>
    <w:rsid w:val="00F853AF"/>
    <w:rsid w:val="00F86B77"/>
    <w:rsid w:val="00F9266C"/>
    <w:rsid w:val="00FA1AD5"/>
    <w:rsid w:val="00FB1839"/>
    <w:rsid w:val="00FB56EE"/>
    <w:rsid w:val="00FC3997"/>
    <w:rsid w:val="00FD0F81"/>
    <w:rsid w:val="00FE26B7"/>
    <w:rsid w:val="00FE6EA9"/>
    <w:rsid w:val="00FF0653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F3B69"/>
  <w15:docId w15:val="{A63EB668-9B29-4DB7-BA5E-1EB63ABA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Poprawka">
    <w:name w:val="Revision"/>
    <w:hidden/>
    <w:uiPriority w:val="99"/>
    <w:semiHidden/>
    <w:rsid w:val="00793B5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D5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5474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D54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474"/>
    <w:rPr>
      <w:rFonts w:ascii="Arial Narrow" w:eastAsia="Times New Roman" w:hAnsi="Arial Narrow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6E633-2E15-4C21-BABB-8929A65C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2426</Words>
  <Characters>14557</Characters>
  <Application>Microsoft Office Word</Application>
  <DocSecurity>0</DocSecurity>
  <Lines>121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Kondrat Szczepaniak</dc:creator>
  <cp:lastModifiedBy>Rzeszutek Marek</cp:lastModifiedBy>
  <cp:revision>6</cp:revision>
  <cp:lastPrinted>2022-03-18T09:48:00Z</cp:lastPrinted>
  <dcterms:created xsi:type="dcterms:W3CDTF">2022-04-05T06:30:00Z</dcterms:created>
  <dcterms:modified xsi:type="dcterms:W3CDTF">2022-04-12T07:37:00Z</dcterms:modified>
</cp:coreProperties>
</file>